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12D7" w14:textId="69ABE049" w:rsidR="00E017BB" w:rsidRDefault="00E017BB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E017BB">
        <w:rPr>
          <w:rFonts w:ascii="Calibri" w:hAnsi="Calibri" w:cs="Calibri"/>
          <w:b/>
          <w:sz w:val="20"/>
          <w:szCs w:val="20"/>
          <w:lang w:val="en-AU"/>
        </w:rPr>
        <w:t>Changes in pregabalin use and misuse following government interventions and media coverage</w:t>
      </w:r>
    </w:p>
    <w:p w14:paraId="2D21A2B9" w14:textId="4F10B907" w:rsidR="00711813" w:rsidRPr="004E5450" w:rsidRDefault="00937D78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Rose Cairns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CC21A9">
        <w:rPr>
          <w:rFonts w:ascii="Calibri" w:hAnsi="Calibri" w:cs="Calibri"/>
          <w:sz w:val="20"/>
          <w:szCs w:val="20"/>
          <w:vertAlign w:val="superscript"/>
          <w:lang w:val="en-AU"/>
        </w:rPr>
        <w:t>,2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Firouzeh Noghrehchi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Sallie-Anne Pearson</w:t>
      </w:r>
      <w:r w:rsidR="00CC21A9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>
        <w:rPr>
          <w:rFonts w:ascii="Calibri" w:hAnsi="Calibri" w:cs="Calibri"/>
          <w:sz w:val="20"/>
          <w:szCs w:val="20"/>
          <w:lang w:val="en-AU"/>
        </w:rPr>
        <w:t>, Jonathan Brett</w:t>
      </w:r>
      <w:r w:rsidR="00CC21A9" w:rsidRPr="00CC21A9">
        <w:rPr>
          <w:rFonts w:ascii="Calibri" w:hAnsi="Calibri" w:cs="Calibri"/>
          <w:sz w:val="20"/>
          <w:szCs w:val="20"/>
          <w:vertAlign w:val="superscript"/>
          <w:lang w:val="en-AU"/>
        </w:rPr>
        <w:t>2,3</w:t>
      </w:r>
      <w:r>
        <w:rPr>
          <w:rFonts w:ascii="Calibri" w:hAnsi="Calibri" w:cs="Calibri"/>
          <w:sz w:val="20"/>
          <w:szCs w:val="20"/>
          <w:lang w:val="en-AU"/>
        </w:rPr>
        <w:t>, Andrea L Schaffer</w:t>
      </w:r>
      <w:r w:rsidR="00CC21A9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>
        <w:rPr>
          <w:rFonts w:ascii="Calibri" w:hAnsi="Calibri" w:cs="Calibri"/>
          <w:sz w:val="20"/>
          <w:szCs w:val="20"/>
          <w:lang w:val="en-AU"/>
        </w:rPr>
        <w:t>, Nicholas A Buckley</w:t>
      </w:r>
      <w:r w:rsidR="00CC21A9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>
        <w:rPr>
          <w:rFonts w:ascii="Calibri" w:hAnsi="Calibri" w:cs="Calibri"/>
          <w:sz w:val="20"/>
          <w:szCs w:val="20"/>
          <w:lang w:val="en-AU"/>
        </w:rPr>
        <w:t>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Faculty of Medicine and Health, School of Pharmacy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The University of Sydney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Sydney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NSW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>
        <w:rPr>
          <w:rFonts w:ascii="Calibri" w:hAnsi="Calibri" w:cs="Calibri"/>
          <w:sz w:val="20"/>
          <w:szCs w:val="20"/>
          <w:lang w:val="en-AU"/>
        </w:rPr>
        <w:t>New South Wales Poisons Information Centre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Sydney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NSW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</w:t>
      </w:r>
      <w:r w:rsidR="00CC21A9">
        <w:rPr>
          <w:rFonts w:ascii="Calibri" w:hAnsi="Calibri" w:cs="Calibri"/>
          <w:sz w:val="20"/>
          <w:szCs w:val="20"/>
          <w:lang w:val="en-AU"/>
        </w:rPr>
        <w:t>; School of Population Health, University of New South Wales</w:t>
      </w:r>
      <w:r w:rsidR="00CC21A9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CC21A9">
        <w:rPr>
          <w:rFonts w:ascii="Calibri" w:hAnsi="Calibri" w:cs="Calibri"/>
          <w:sz w:val="20"/>
          <w:szCs w:val="20"/>
          <w:lang w:val="en-AU"/>
        </w:rPr>
        <w:t xml:space="preserve">, Sydney, NSW, Australia; </w:t>
      </w:r>
      <w:r w:rsidR="00CC21A9" w:rsidRPr="00CC21A9">
        <w:rPr>
          <w:rFonts w:ascii="Calibri" w:hAnsi="Calibri" w:cs="Calibri"/>
          <w:sz w:val="20"/>
          <w:szCs w:val="20"/>
          <w:lang w:val="en-AU"/>
        </w:rPr>
        <w:t xml:space="preserve">The Bennett </w:t>
      </w:r>
      <w:r w:rsidR="00CC21A9" w:rsidRPr="00CC21A9">
        <w:rPr>
          <w:rFonts w:ascii="Calibri" w:hAnsi="Calibri" w:cs="Calibri"/>
          <w:sz w:val="20"/>
          <w:szCs w:val="20"/>
          <w:lang w:val="en-AU"/>
        </w:rPr>
        <w:t>Institute</w:t>
      </w:r>
      <w:r w:rsidR="00CC21A9" w:rsidRPr="00CC21A9">
        <w:rPr>
          <w:rFonts w:ascii="Calibri" w:hAnsi="Calibri" w:cs="Calibri"/>
          <w:sz w:val="20"/>
          <w:szCs w:val="20"/>
          <w:lang w:val="en-AU"/>
        </w:rPr>
        <w:t xml:space="preserve"> for Applied Data Science, University of Oxford</w:t>
      </w:r>
      <w:r w:rsidR="00CC21A9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="00CC21A9">
        <w:rPr>
          <w:rFonts w:ascii="Calibri" w:hAnsi="Calibri" w:cs="Calibri"/>
          <w:sz w:val="20"/>
          <w:szCs w:val="20"/>
          <w:lang w:val="en-AU"/>
        </w:rPr>
        <w:t>, Oxford, UK.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7E6C501F" w14:textId="4F972B0B" w:rsidR="00711813" w:rsidRPr="004E5450" w:rsidRDefault="00DA67F0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DA67F0">
        <w:rPr>
          <w:i/>
          <w:color w:val="auto"/>
          <w:sz w:val="20"/>
          <w:szCs w:val="20"/>
        </w:rPr>
        <w:drawing>
          <wp:anchor distT="0" distB="0" distL="114300" distR="114300" simplePos="0" relativeHeight="251661824" behindDoc="1" locked="0" layoutInCell="1" allowOverlap="1" wp14:anchorId="7923E58A" wp14:editId="66C97B5F">
            <wp:simplePos x="0" y="0"/>
            <wp:positionH relativeFrom="column">
              <wp:posOffset>4075500</wp:posOffset>
            </wp:positionH>
            <wp:positionV relativeFrom="paragraph">
              <wp:posOffset>99406</wp:posOffset>
            </wp:positionV>
            <wp:extent cx="2499995" cy="1517015"/>
            <wp:effectExtent l="0" t="0" r="1905" b="0"/>
            <wp:wrapTight wrapText="bothSides">
              <wp:wrapPolygon edited="0">
                <wp:start x="0" y="0"/>
                <wp:lineTo x="0" y="21338"/>
                <wp:lineTo x="21507" y="21338"/>
                <wp:lineTo x="21507" y="0"/>
                <wp:lineTo x="0" y="0"/>
              </wp:wrapPolygon>
            </wp:wrapTight>
            <wp:docPr id="1318442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42463" name=""/>
                    <pic:cNvPicPr/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995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813" w:rsidRPr="004E5450">
        <w:rPr>
          <w:i/>
          <w:color w:val="auto"/>
          <w:sz w:val="20"/>
          <w:szCs w:val="20"/>
        </w:rPr>
        <w:t xml:space="preserve"> </w:t>
      </w:r>
    </w:p>
    <w:p w14:paraId="1C4AA8F4" w14:textId="5F91B069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37D78">
        <w:rPr>
          <w:rFonts w:ascii="Calibri" w:hAnsi="Calibri" w:cs="Calibri"/>
          <w:sz w:val="20"/>
          <w:szCs w:val="20"/>
          <w:lang w:val="en-AU"/>
        </w:rPr>
        <w:t>Pregabalin use and overdose in Australia increased rapidly following its subsidy on the Pharmaceutical Benefits Scheme (PBS) in 2013, with several recent attempts to curb use and harms.</w:t>
      </w:r>
    </w:p>
    <w:p w14:paraId="77405D7F" w14:textId="355BAE94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37D78" w:rsidRPr="00937D78">
        <w:rPr>
          <w:rFonts w:ascii="Calibri" w:hAnsi="Calibri" w:cs="Calibri"/>
          <w:sz w:val="20"/>
          <w:szCs w:val="20"/>
          <w:lang w:val="en-AU"/>
        </w:rPr>
        <w:t xml:space="preserve">To evaluate trends in pregabalin use and </w:t>
      </w:r>
      <w:r w:rsidR="008723E1">
        <w:rPr>
          <w:rFonts w:ascii="Calibri" w:hAnsi="Calibri" w:cs="Calibri"/>
          <w:sz w:val="20"/>
          <w:szCs w:val="20"/>
          <w:lang w:val="en-AU"/>
        </w:rPr>
        <w:t>overdose</w:t>
      </w:r>
      <w:r w:rsidR="00937D78" w:rsidRPr="00937D78">
        <w:rPr>
          <w:rFonts w:ascii="Calibri" w:hAnsi="Calibri" w:cs="Calibri"/>
          <w:sz w:val="20"/>
          <w:szCs w:val="20"/>
          <w:lang w:val="en-AU"/>
        </w:rPr>
        <w:t xml:space="preserve"> in Australia, including the impact of media coverage (December 2018), restrictions on prescribing/dispensing (April 2020), and boxed warnings (February 2021).</w:t>
      </w:r>
    </w:p>
    <w:p w14:paraId="20884386" w14:textId="7680FE19" w:rsidR="00937D78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CC21A9"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937D78">
        <w:rPr>
          <w:rFonts w:ascii="Calibri" w:hAnsi="Calibri" w:cs="Calibri"/>
          <w:sz w:val="20"/>
          <w:szCs w:val="20"/>
          <w:lang w:val="en-AU"/>
        </w:rPr>
        <w:t>c</w:t>
      </w:r>
      <w:r w:rsidR="00937D78" w:rsidRPr="00937D78">
        <w:rPr>
          <w:rFonts w:ascii="Calibri" w:hAnsi="Calibri" w:cs="Calibri"/>
          <w:sz w:val="20"/>
          <w:szCs w:val="20"/>
          <w:lang w:val="en-AU"/>
        </w:rPr>
        <w:t xml:space="preserve">hangepoint and latent class analysis of dispensing </w:t>
      </w:r>
      <w:r w:rsidR="00937D78">
        <w:rPr>
          <w:rFonts w:ascii="Calibri" w:hAnsi="Calibri" w:cs="Calibri"/>
          <w:sz w:val="20"/>
          <w:szCs w:val="20"/>
          <w:lang w:val="en-AU"/>
        </w:rPr>
        <w:t xml:space="preserve">(PBS) </w:t>
      </w:r>
      <w:r w:rsidR="00937D78" w:rsidRPr="00937D78">
        <w:rPr>
          <w:rFonts w:ascii="Calibri" w:hAnsi="Calibri" w:cs="Calibri"/>
          <w:sz w:val="20"/>
          <w:szCs w:val="20"/>
          <w:lang w:val="en-AU"/>
        </w:rPr>
        <w:t>and overdose data</w:t>
      </w:r>
      <w:r w:rsidR="00937D78">
        <w:rPr>
          <w:rFonts w:ascii="Calibri" w:hAnsi="Calibri" w:cs="Calibri"/>
          <w:sz w:val="20"/>
          <w:szCs w:val="20"/>
          <w:lang w:val="en-AU"/>
        </w:rPr>
        <w:t xml:space="preserve"> (from </w:t>
      </w:r>
      <w:r w:rsidR="008723E1">
        <w:rPr>
          <w:rFonts w:ascii="Calibri" w:hAnsi="Calibri" w:cs="Calibri"/>
          <w:sz w:val="20"/>
          <w:szCs w:val="20"/>
          <w:lang w:val="en-AU"/>
        </w:rPr>
        <w:t xml:space="preserve">NSW Poisons Centre, </w:t>
      </w:r>
      <w:r w:rsidR="00937D78">
        <w:rPr>
          <w:rFonts w:ascii="Calibri" w:hAnsi="Calibri" w:cs="Calibri"/>
          <w:sz w:val="20"/>
          <w:szCs w:val="20"/>
          <w:lang w:val="en-AU"/>
        </w:rPr>
        <w:t>Australia’s largest poisons centre)</w:t>
      </w:r>
      <w:r w:rsidR="00937D78" w:rsidRPr="00937D78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3FB46D10" w14:textId="759A5D43" w:rsidR="00711813" w:rsidRPr="004E5450" w:rsidRDefault="008723E1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b/>
          <w:bCs/>
          <w:noProof/>
          <w:sz w:val="20"/>
          <w:szCs w:val="20"/>
          <w:lang w:val="en-AU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CDB9D6E" wp14:editId="29849D42">
                <wp:simplePos x="0" y="0"/>
                <wp:positionH relativeFrom="column">
                  <wp:posOffset>4077970</wp:posOffset>
                </wp:positionH>
                <wp:positionV relativeFrom="paragraph">
                  <wp:posOffset>167640</wp:posOffset>
                </wp:positionV>
                <wp:extent cx="2498090" cy="457200"/>
                <wp:effectExtent l="0" t="0" r="3810" b="0"/>
                <wp:wrapTight wrapText="bothSides">
                  <wp:wrapPolygon edited="0">
                    <wp:start x="0" y="0"/>
                    <wp:lineTo x="0" y="21000"/>
                    <wp:lineTo x="21523" y="21000"/>
                    <wp:lineTo x="21523" y="0"/>
                    <wp:lineTo x="0" y="0"/>
                  </wp:wrapPolygon>
                </wp:wrapTight>
                <wp:docPr id="2321395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09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66A4D4" w14:textId="36FF5C05" w:rsidR="00DA67F0" w:rsidRPr="00DA67F0" w:rsidRDefault="00DA67F0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DA67F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lang w:val="en-AU"/>
                              </w:rPr>
                              <w:t>Figure 1:</w:t>
                            </w:r>
                            <w:r w:rsidRPr="00DA67F0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AU"/>
                              </w:rPr>
                              <w:t>Y</w:t>
                            </w:r>
                            <w:r w:rsidRPr="00DA67F0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AU"/>
                              </w:rPr>
                              <w:t xml:space="preserve">early trends in (A) pregabalin </w:t>
                            </w:r>
                            <w:proofErr w:type="spellStart"/>
                            <w:r w:rsidRPr="00DA67F0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AU"/>
                              </w:rPr>
                              <w:t>dispensings</w:t>
                            </w:r>
                            <w:proofErr w:type="spellEnd"/>
                            <w:r w:rsidRPr="00DA67F0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AU"/>
                              </w:rPr>
                              <w:t xml:space="preserve"> and (B) pregabalin poisonings. Arrows show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AU"/>
                              </w:rPr>
                              <w:t>:</w:t>
                            </w:r>
                            <w:r w:rsidRPr="00DA67F0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AU"/>
                              </w:rPr>
                              <w:t xml:space="preserve"> 1. media coverage, 2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AU"/>
                              </w:rPr>
                              <w:t>.</w:t>
                            </w:r>
                            <w:r w:rsidRPr="00DA67F0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AU"/>
                              </w:rPr>
                              <w:t xml:space="preserve"> restrictions and 3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AU"/>
                              </w:rPr>
                              <w:t xml:space="preserve">. </w:t>
                            </w:r>
                            <w:r w:rsidRPr="00DA67F0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AU"/>
                              </w:rPr>
                              <w:t>boxed warnings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B9D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1.1pt;margin-top:13.2pt;width:196.7pt;height:36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" fillcolor="white [3201]" stroked="f" strokeweight=".5pt">
                <v:textbox>
                  <w:txbxContent>
                    <w:p w14:paraId="5A66A4D4" w14:textId="36FF5C05" w:rsidR="00DA67F0" w:rsidRPr="00DA67F0" w:rsidRDefault="00DA67F0">
                      <w:pPr>
                        <w:rPr>
                          <w:rFonts w:ascii="Calibri" w:hAnsi="Calibri" w:cs="Calibri"/>
                          <w:sz w:val="16"/>
                          <w:szCs w:val="16"/>
                          <w:lang w:val="en-AU"/>
                        </w:rPr>
                      </w:pPr>
                      <w:r w:rsidRPr="00DA67F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lang w:val="en-AU"/>
                        </w:rPr>
                        <w:t>Figure 1:</w:t>
                      </w:r>
                      <w:r w:rsidRPr="00DA67F0">
                        <w:rPr>
                          <w:rFonts w:ascii="Calibri" w:hAnsi="Calibri" w:cs="Calibri"/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  <w:lang w:val="en-AU"/>
                        </w:rPr>
                        <w:t>Y</w:t>
                      </w:r>
                      <w:r w:rsidRPr="00DA67F0">
                        <w:rPr>
                          <w:rFonts w:ascii="Calibri" w:hAnsi="Calibri" w:cs="Calibri"/>
                          <w:sz w:val="16"/>
                          <w:szCs w:val="16"/>
                          <w:lang w:val="en-AU"/>
                        </w:rPr>
                        <w:t xml:space="preserve">early trends in (A) pregabalin </w:t>
                      </w:r>
                      <w:proofErr w:type="spellStart"/>
                      <w:r w:rsidRPr="00DA67F0">
                        <w:rPr>
                          <w:rFonts w:ascii="Calibri" w:hAnsi="Calibri" w:cs="Calibri"/>
                          <w:sz w:val="16"/>
                          <w:szCs w:val="16"/>
                          <w:lang w:val="en-AU"/>
                        </w:rPr>
                        <w:t>dispensings</w:t>
                      </w:r>
                      <w:proofErr w:type="spellEnd"/>
                      <w:r w:rsidRPr="00DA67F0">
                        <w:rPr>
                          <w:rFonts w:ascii="Calibri" w:hAnsi="Calibri" w:cs="Calibri"/>
                          <w:sz w:val="16"/>
                          <w:szCs w:val="16"/>
                          <w:lang w:val="en-AU"/>
                        </w:rPr>
                        <w:t xml:space="preserve"> and (B) pregabalin poisonings. Arrows show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  <w:lang w:val="en-AU"/>
                        </w:rPr>
                        <w:t>:</w:t>
                      </w:r>
                      <w:r w:rsidRPr="00DA67F0">
                        <w:rPr>
                          <w:rFonts w:ascii="Calibri" w:hAnsi="Calibri" w:cs="Calibri"/>
                          <w:sz w:val="16"/>
                          <w:szCs w:val="16"/>
                          <w:lang w:val="en-AU"/>
                        </w:rPr>
                        <w:t xml:space="preserve"> 1. media coverage, 2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  <w:lang w:val="en-AU"/>
                        </w:rPr>
                        <w:t>.</w:t>
                      </w:r>
                      <w:r w:rsidRPr="00DA67F0">
                        <w:rPr>
                          <w:rFonts w:ascii="Calibri" w:hAnsi="Calibri" w:cs="Calibri"/>
                          <w:sz w:val="16"/>
                          <w:szCs w:val="16"/>
                          <w:lang w:val="en-AU"/>
                        </w:rPr>
                        <w:t xml:space="preserve"> restrictions and 3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  <w:lang w:val="en-AU"/>
                        </w:rPr>
                        <w:t xml:space="preserve">. </w:t>
                      </w:r>
                      <w:r w:rsidRPr="00DA67F0">
                        <w:rPr>
                          <w:rFonts w:ascii="Calibri" w:hAnsi="Calibri" w:cs="Calibri"/>
                          <w:sz w:val="16"/>
                          <w:szCs w:val="16"/>
                          <w:lang w:val="en-AU"/>
                        </w:rPr>
                        <w:t>boxed warnings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11813"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="00937D7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37D78" w:rsidRPr="00937D78">
        <w:rPr>
          <w:rFonts w:ascii="Calibri" w:hAnsi="Calibri" w:cs="Calibri"/>
          <w:sz w:val="20"/>
          <w:szCs w:val="20"/>
          <w:lang w:val="en-AU"/>
        </w:rPr>
        <w:t>Pregabalin use peaked in 2018 before plateauing and declining</w:t>
      </w:r>
      <w:r w:rsidR="00DA67F0">
        <w:rPr>
          <w:rFonts w:ascii="Calibri" w:hAnsi="Calibri" w:cs="Calibri"/>
          <w:sz w:val="20"/>
          <w:szCs w:val="20"/>
          <w:lang w:val="en-AU"/>
        </w:rPr>
        <w:t xml:space="preserve"> (Fig. 1)</w:t>
      </w:r>
      <w:r w:rsidR="00937D78" w:rsidRPr="00937D78">
        <w:rPr>
          <w:rFonts w:ascii="Calibri" w:hAnsi="Calibri" w:cs="Calibri"/>
          <w:sz w:val="20"/>
          <w:szCs w:val="20"/>
          <w:lang w:val="en-AU"/>
        </w:rPr>
        <w:t>. There were three breakpoints in dispensing data with significant changes in level and slope: December 2018, May 2020 and December 2021. The combined effect was a decrease in dispensing,</w:t>
      </w:r>
      <w:r>
        <w:rPr>
          <w:rFonts w:ascii="Calibri" w:hAnsi="Calibri" w:cs="Calibri"/>
          <w:sz w:val="20"/>
          <w:szCs w:val="20"/>
          <w:lang w:val="en-AU"/>
        </w:rPr>
        <w:t xml:space="preserve"> rate ratio</w:t>
      </w:r>
      <w:r w:rsidR="00937D78" w:rsidRPr="00937D78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(</w:t>
      </w:r>
      <w:r w:rsidR="00937D78" w:rsidRPr="00937D78">
        <w:rPr>
          <w:rFonts w:ascii="Calibri" w:hAnsi="Calibri" w:cs="Calibri"/>
          <w:sz w:val="20"/>
          <w:szCs w:val="20"/>
          <w:lang w:val="en-AU"/>
        </w:rPr>
        <w:t>RR</w:t>
      </w:r>
      <w:r>
        <w:rPr>
          <w:rFonts w:ascii="Calibri" w:hAnsi="Calibri" w:cs="Calibri"/>
          <w:sz w:val="20"/>
          <w:szCs w:val="20"/>
          <w:lang w:val="en-AU"/>
        </w:rPr>
        <w:t>)</w:t>
      </w:r>
      <w:r w:rsidR="00937D78" w:rsidRPr="00937D78">
        <w:rPr>
          <w:rFonts w:ascii="Calibri" w:hAnsi="Calibri" w:cs="Calibri"/>
          <w:sz w:val="20"/>
          <w:szCs w:val="20"/>
          <w:lang w:val="en-AU"/>
        </w:rPr>
        <w:t xml:space="preserve"> 0.748 (95% CI 0.700, 0.800). All breakpoints were also associated with slope changes for poisonings. This resulted in an estimated 41.3 (26.9, 52.4) fewer </w:t>
      </w:r>
      <w:r>
        <w:rPr>
          <w:rFonts w:ascii="Calibri" w:hAnsi="Calibri" w:cs="Calibri"/>
          <w:sz w:val="20"/>
          <w:szCs w:val="20"/>
          <w:lang w:val="en-AU"/>
        </w:rPr>
        <w:t xml:space="preserve">monthly </w:t>
      </w:r>
      <w:r w:rsidR="00937D78" w:rsidRPr="00937D78">
        <w:rPr>
          <w:rFonts w:ascii="Calibri" w:hAnsi="Calibri" w:cs="Calibri"/>
          <w:sz w:val="20"/>
          <w:szCs w:val="20"/>
          <w:lang w:val="en-AU"/>
        </w:rPr>
        <w:t>pregabalin overdose calls in December 2021 (compared to counterfactual). The latent class analysis revealed four groups, with high-risk users (13.5%) more likely male, younger, dispensed more pregabalin, with shorter refill interval and high rates of opioids and benzodiazepine co-use (68.5% and 34.3%, respectively).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D5FE6">
        <w:rPr>
          <w:rFonts w:ascii="Calibri" w:hAnsi="Calibri" w:cs="Calibri"/>
          <w:sz w:val="20"/>
          <w:szCs w:val="20"/>
          <w:lang w:val="en-AU"/>
        </w:rPr>
        <w:t>Overall (i.e. in all users), c</w:t>
      </w:r>
      <w:r w:rsidRPr="008723E1">
        <w:rPr>
          <w:rFonts w:ascii="Calibri" w:hAnsi="Calibri" w:cs="Calibri"/>
          <w:sz w:val="20"/>
          <w:szCs w:val="20"/>
          <w:lang w:val="en-AU"/>
        </w:rPr>
        <w:t>oncomitant use of pregabalin and opioids</w:t>
      </w:r>
      <w:r>
        <w:rPr>
          <w:rFonts w:ascii="Calibri" w:hAnsi="Calibri" w:cs="Calibri"/>
          <w:sz w:val="20"/>
          <w:szCs w:val="20"/>
          <w:lang w:val="en-AU"/>
        </w:rPr>
        <w:t xml:space="preserve"> dropped</w:t>
      </w:r>
      <w:r w:rsidRPr="008723E1">
        <w:rPr>
          <w:rFonts w:ascii="Calibri" w:hAnsi="Calibri" w:cs="Calibri"/>
          <w:sz w:val="20"/>
          <w:szCs w:val="20"/>
          <w:lang w:val="en-AU"/>
        </w:rPr>
        <w:t xml:space="preserve"> from 56.1% in 2016-17, to 46.8% in 2023-24.</w:t>
      </w:r>
    </w:p>
    <w:p w14:paraId="1EAEC518" w14:textId="550BA671" w:rsidR="00F97620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37D78" w:rsidRPr="00937D78">
        <w:rPr>
          <w:rFonts w:ascii="Calibri" w:hAnsi="Calibri" w:cs="Calibri"/>
          <w:sz w:val="20"/>
          <w:szCs w:val="20"/>
          <w:lang w:val="en-AU"/>
        </w:rPr>
        <w:t>Pregabalin use and overdose in Australia has declined in recent years. Significant changes in trend were seen corresponding with widespread media coverage (December 2018), and re-scheduling (May 2020). The third breakpoint may be a delayed impact of boxed warnings (implemented February 2021).</w:t>
      </w:r>
      <w:r w:rsidR="008723E1">
        <w:rPr>
          <w:rFonts w:ascii="Calibri" w:hAnsi="Calibri" w:cs="Calibri"/>
          <w:sz w:val="20"/>
          <w:szCs w:val="20"/>
          <w:lang w:val="en-AU"/>
        </w:rPr>
        <w:t xml:space="preserve"> Co-use with opioids has also declined.</w:t>
      </w:r>
      <w:r w:rsidR="00937D78" w:rsidRPr="00937D78">
        <w:rPr>
          <w:rFonts w:ascii="Calibri" w:hAnsi="Calibri" w:cs="Calibri"/>
          <w:sz w:val="20"/>
          <w:szCs w:val="20"/>
          <w:lang w:val="en-AU"/>
        </w:rPr>
        <w:t xml:space="preserve"> Similar measures could be considered in other countries where pregabalin misuse is of concern.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2272B0"/>
    <w:rsid w:val="00300B92"/>
    <w:rsid w:val="003238D9"/>
    <w:rsid w:val="00387491"/>
    <w:rsid w:val="00444224"/>
    <w:rsid w:val="00483B05"/>
    <w:rsid w:val="004D5FE6"/>
    <w:rsid w:val="004E28B9"/>
    <w:rsid w:val="004E50FC"/>
    <w:rsid w:val="004E5450"/>
    <w:rsid w:val="0059609A"/>
    <w:rsid w:val="00597659"/>
    <w:rsid w:val="005D1700"/>
    <w:rsid w:val="005E48A2"/>
    <w:rsid w:val="005E62BE"/>
    <w:rsid w:val="00711813"/>
    <w:rsid w:val="00724E3C"/>
    <w:rsid w:val="00743C46"/>
    <w:rsid w:val="00760B17"/>
    <w:rsid w:val="008723E1"/>
    <w:rsid w:val="00885303"/>
    <w:rsid w:val="008909C9"/>
    <w:rsid w:val="00937D78"/>
    <w:rsid w:val="00947B77"/>
    <w:rsid w:val="009E2228"/>
    <w:rsid w:val="009F06D6"/>
    <w:rsid w:val="00A266B4"/>
    <w:rsid w:val="00A71DEF"/>
    <w:rsid w:val="00AE2DA6"/>
    <w:rsid w:val="00BC5FCC"/>
    <w:rsid w:val="00C132EC"/>
    <w:rsid w:val="00C60A71"/>
    <w:rsid w:val="00CC21A9"/>
    <w:rsid w:val="00D55F3B"/>
    <w:rsid w:val="00DA2731"/>
    <w:rsid w:val="00DA67F0"/>
    <w:rsid w:val="00E017BB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A7FCB9"/>
  <w15:chartTrackingRefBased/>
  <w15:docId w15:val="{99E09062-C60A-3643-BD6F-C1874CF9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2447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Rose Cairns</cp:lastModifiedBy>
  <cp:revision>2</cp:revision>
  <cp:lastPrinted>2025-09-15T09:54:00Z</cp:lastPrinted>
  <dcterms:created xsi:type="dcterms:W3CDTF">2025-09-15T09:59:00Z</dcterms:created>
  <dcterms:modified xsi:type="dcterms:W3CDTF">2025-09-15T09:59:00Z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