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C440" w14:textId="03D02885" w:rsidR="00711813" w:rsidRPr="004E5450" w:rsidRDefault="004D073A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GPCR drug discovery using DNA encoded libraries: </w:t>
      </w:r>
      <w:r w:rsidR="003A3846">
        <w:rPr>
          <w:rFonts w:ascii="Calibri" w:hAnsi="Calibri" w:cs="Calibri"/>
          <w:b/>
          <w:sz w:val="20"/>
          <w:szCs w:val="20"/>
          <w:lang w:val="en-AU"/>
        </w:rPr>
        <w:t xml:space="preserve">Identification of novel </w:t>
      </w:r>
      <w:r>
        <w:rPr>
          <w:rFonts w:ascii="Calibri" w:hAnsi="Calibri" w:cs="Calibri"/>
          <w:b/>
          <w:sz w:val="20"/>
          <w:szCs w:val="20"/>
          <w:lang w:val="en-AU"/>
        </w:rPr>
        <w:t>GPR88</w:t>
      </w:r>
      <w:r w:rsidR="003A3846">
        <w:rPr>
          <w:rFonts w:ascii="Calibri" w:hAnsi="Calibri" w:cs="Calibri"/>
          <w:b/>
          <w:sz w:val="20"/>
          <w:szCs w:val="20"/>
          <w:lang w:val="en-AU"/>
        </w:rPr>
        <w:t xml:space="preserve"> ligands</w:t>
      </w:r>
    </w:p>
    <w:p w14:paraId="219D9881" w14:textId="721BB3F9" w:rsidR="00711813" w:rsidRPr="004E5450" w:rsidRDefault="004D073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Natalie A Diepenhorst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, J</w:t>
      </w:r>
      <w:r>
        <w:rPr>
          <w:rFonts w:ascii="Calibri" w:hAnsi="Calibri" w:cs="Calibri"/>
          <w:sz w:val="20"/>
          <w:szCs w:val="20"/>
          <w:lang w:val="en-AU"/>
        </w:rPr>
        <w:t>on Merlin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</w:t>
      </w:r>
      <w:r w:rsidR="0020454B">
        <w:rPr>
          <w:rFonts w:ascii="Calibri" w:hAnsi="Calibri" w:cs="Calibri"/>
          <w:sz w:val="20"/>
          <w:szCs w:val="20"/>
          <w:lang w:val="en-AU"/>
        </w:rPr>
        <w:t xml:space="preserve"> Sheng Yu Ang</w:t>
      </w:r>
      <w:r w:rsidR="0020454B" w:rsidRPr="0020454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20454B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74EBC">
        <w:rPr>
          <w:rFonts w:ascii="Calibri" w:hAnsi="Calibri" w:cs="Calibri"/>
          <w:sz w:val="20"/>
          <w:szCs w:val="20"/>
          <w:lang w:val="en-AU"/>
        </w:rPr>
        <w:t>Luke Adams</w:t>
      </w:r>
      <w:r w:rsidR="00B74EBC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74EBC">
        <w:rPr>
          <w:rFonts w:ascii="Calibri" w:hAnsi="Calibri" w:cs="Calibri"/>
          <w:sz w:val="20"/>
          <w:szCs w:val="20"/>
          <w:lang w:val="en-AU"/>
        </w:rPr>
        <w:t>Ylva Bozikis</w:t>
      </w:r>
      <w:r w:rsidR="00B74EBC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171A37" w:rsidRPr="00171A37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71A37">
        <w:rPr>
          <w:rFonts w:ascii="Calibri" w:hAnsi="Calibri" w:cs="Calibri"/>
          <w:sz w:val="20"/>
          <w:szCs w:val="20"/>
          <w:lang w:val="en-AU"/>
        </w:rPr>
        <w:t>Greg Stewart</w:t>
      </w:r>
      <w:r w:rsidR="00171A37" w:rsidRPr="0020454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171A37">
        <w:rPr>
          <w:rFonts w:ascii="Calibri" w:hAnsi="Calibri" w:cs="Calibri"/>
          <w:sz w:val="20"/>
          <w:szCs w:val="20"/>
          <w:lang w:val="en-AU"/>
        </w:rPr>
        <w:t>, Chris Langmead</w:t>
      </w:r>
      <w:r w:rsidR="00171A37" w:rsidRPr="0020454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4D073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Molecular and Translational Drug Discovery, Drug Discovery Biology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Monash Institute of Pharmaceutical Sciences, Australia</w:t>
      </w:r>
      <w:r w:rsidR="00B74EBC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B74EBC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B74EBC">
        <w:rPr>
          <w:rFonts w:ascii="Calibri" w:hAnsi="Calibri" w:cs="Calibri"/>
          <w:sz w:val="20"/>
          <w:szCs w:val="20"/>
          <w:lang w:val="en-AU"/>
        </w:rPr>
        <w:t>Monash Fragment Platform,</w:t>
      </w:r>
      <w:r w:rsidR="00B74EBC" w:rsidRPr="00B74EB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74EBC">
        <w:rPr>
          <w:rFonts w:ascii="Calibri" w:hAnsi="Calibri" w:cs="Calibri"/>
          <w:sz w:val="20"/>
          <w:szCs w:val="20"/>
          <w:lang w:val="en-AU"/>
        </w:rPr>
        <w:t>Monash Institute of Pharmaceutical Sciences, Australia</w:t>
      </w:r>
      <w:r w:rsidR="00B74EBC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B74EBC" w:rsidRPr="00B74EBC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B74EBC">
        <w:rPr>
          <w:rFonts w:ascii="Calibri" w:hAnsi="Calibri" w:cs="Calibri"/>
          <w:sz w:val="20"/>
          <w:szCs w:val="20"/>
          <w:lang w:val="en-AU"/>
        </w:rPr>
        <w:t xml:space="preserve">Australian Translational Medicinal Chemistry Facility, </w:t>
      </w:r>
      <w:r w:rsidR="00B74EBC">
        <w:rPr>
          <w:rFonts w:ascii="Calibri" w:hAnsi="Calibri" w:cs="Calibri"/>
          <w:sz w:val="20"/>
          <w:szCs w:val="20"/>
          <w:lang w:val="en-AU"/>
        </w:rPr>
        <w:t>Monash Institute of Pharmaceutical Sciences, Australia</w:t>
      </w:r>
    </w:p>
    <w:p w14:paraId="35F04AC1" w14:textId="639D33E5" w:rsidR="00711813" w:rsidRPr="004E5450" w:rsidRDefault="005A5474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i/>
          <w:noProof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7B022E1" wp14:editId="74289904">
            <wp:simplePos x="0" y="0"/>
            <wp:positionH relativeFrom="column">
              <wp:posOffset>2741930</wp:posOffset>
            </wp:positionH>
            <wp:positionV relativeFrom="paragraph">
              <wp:posOffset>136948</wp:posOffset>
            </wp:positionV>
            <wp:extent cx="3454400" cy="1151255"/>
            <wp:effectExtent l="0" t="0" r="0" b="4445"/>
            <wp:wrapTight wrapText="bothSides">
              <wp:wrapPolygon edited="0">
                <wp:start x="3256" y="0"/>
                <wp:lineTo x="0" y="715"/>
                <wp:lineTo x="0" y="21445"/>
                <wp:lineTo x="21521" y="21445"/>
                <wp:lineTo x="21521" y="2145"/>
                <wp:lineTo x="19218" y="0"/>
                <wp:lineTo x="3256" y="0"/>
              </wp:wrapPolygon>
            </wp:wrapTight>
            <wp:docPr id="284809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09374" name="Picture 28480937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25" b="30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151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5E70A94D" w14:textId="4AEAC62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74EBC">
        <w:rPr>
          <w:rFonts w:ascii="Calibri" w:hAnsi="Calibri" w:cs="Calibri"/>
          <w:sz w:val="20"/>
          <w:szCs w:val="20"/>
          <w:lang w:val="en-AU"/>
        </w:rPr>
        <w:t>GPR88, an orphan GPCR</w:t>
      </w:r>
      <w:r w:rsidR="007F254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74EBC">
        <w:rPr>
          <w:rFonts w:ascii="Calibri" w:hAnsi="Calibri" w:cs="Calibri"/>
          <w:sz w:val="20"/>
          <w:szCs w:val="20"/>
          <w:lang w:val="en-AU"/>
        </w:rPr>
        <w:t xml:space="preserve">enriched in the striatum, </w:t>
      </w:r>
      <w:r w:rsidR="007F254C">
        <w:rPr>
          <w:rFonts w:ascii="Calibri" w:hAnsi="Calibri" w:cs="Calibri"/>
          <w:sz w:val="20"/>
          <w:szCs w:val="20"/>
          <w:lang w:val="en-AU"/>
        </w:rPr>
        <w:t>regulates reward and cognition, and its agonism reduces alcohol self-administration, making it a promising therapeutic target for substance use disorders. However, previous small molecule drug discovery campaigns have failed to yield tractable leads, and published chemotypes lack drug-like properties.</w:t>
      </w:r>
    </w:p>
    <w:p w14:paraId="231BCAFD" w14:textId="7D32082E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F254C">
        <w:rPr>
          <w:rFonts w:ascii="Calibri" w:hAnsi="Calibri" w:cs="Calibri"/>
          <w:sz w:val="20"/>
          <w:szCs w:val="20"/>
          <w:lang w:val="en-AU"/>
        </w:rPr>
        <w:t>W</w:t>
      </w:r>
      <w:r w:rsidR="007F254C">
        <w:rPr>
          <w:rFonts w:ascii="Calibri" w:hAnsi="Calibri" w:cs="Calibri"/>
          <w:sz w:val="20"/>
          <w:szCs w:val="20"/>
          <w:lang w:val="en-AU"/>
        </w:rPr>
        <w:t>e have leveraged our experience with GPR88 biochemistry</w:t>
      </w:r>
      <w:r w:rsidR="00E363F1">
        <w:rPr>
          <w:rFonts w:ascii="Calibri" w:hAnsi="Calibri" w:cs="Calibri"/>
          <w:sz w:val="20"/>
          <w:szCs w:val="20"/>
          <w:lang w:val="en-AU"/>
        </w:rPr>
        <w:t xml:space="preserve"> collaborating with the Monash Fragment Platform (MFP)</w:t>
      </w:r>
      <w:r w:rsidR="007F254C">
        <w:rPr>
          <w:rFonts w:ascii="Calibri" w:hAnsi="Calibri" w:cs="Calibri"/>
          <w:sz w:val="20"/>
          <w:szCs w:val="20"/>
          <w:lang w:val="en-AU"/>
        </w:rPr>
        <w:t xml:space="preserve"> to perform a DNA-encoded library (DEL) screen to identify novel chemotypes for </w:t>
      </w:r>
      <w:r w:rsidR="00E363F1">
        <w:rPr>
          <w:rFonts w:ascii="Calibri" w:hAnsi="Calibri" w:cs="Calibri"/>
          <w:sz w:val="20"/>
          <w:szCs w:val="20"/>
          <w:lang w:val="en-AU"/>
        </w:rPr>
        <w:t xml:space="preserve">GPR88 </w:t>
      </w:r>
      <w:r w:rsidR="007F254C">
        <w:rPr>
          <w:rFonts w:ascii="Calibri" w:hAnsi="Calibri" w:cs="Calibri"/>
          <w:sz w:val="20"/>
          <w:szCs w:val="20"/>
          <w:lang w:val="en-AU"/>
        </w:rPr>
        <w:t>drug development.</w:t>
      </w:r>
    </w:p>
    <w:p w14:paraId="7C47017B" w14:textId="3AEE68E9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F254C">
        <w:rPr>
          <w:rFonts w:ascii="Calibri" w:hAnsi="Calibri" w:cs="Calibri"/>
          <w:sz w:val="20"/>
          <w:szCs w:val="20"/>
          <w:lang w:val="en-AU"/>
        </w:rPr>
        <w:t>GPR88 with and without G-proteins w</w:t>
      </w:r>
      <w:r w:rsidR="00956876">
        <w:rPr>
          <w:rFonts w:ascii="Calibri" w:hAnsi="Calibri" w:cs="Calibri"/>
          <w:sz w:val="20"/>
          <w:szCs w:val="20"/>
          <w:lang w:val="en-AU"/>
        </w:rPr>
        <w:t>as</w:t>
      </w:r>
      <w:r w:rsidR="007F254C">
        <w:rPr>
          <w:rFonts w:ascii="Calibri" w:hAnsi="Calibri" w:cs="Calibri"/>
          <w:sz w:val="20"/>
          <w:szCs w:val="20"/>
          <w:lang w:val="en-AU"/>
        </w:rPr>
        <w:t xml:space="preserve"> purified in detergent micelles for us</w:t>
      </w:r>
      <w:r w:rsidR="003A3846">
        <w:rPr>
          <w:rFonts w:ascii="Calibri" w:hAnsi="Calibri" w:cs="Calibri"/>
          <w:sz w:val="20"/>
          <w:szCs w:val="20"/>
          <w:lang w:val="en-AU"/>
        </w:rPr>
        <w:t>e</w:t>
      </w:r>
      <w:r w:rsidR="007F254C">
        <w:rPr>
          <w:rFonts w:ascii="Calibri" w:hAnsi="Calibri" w:cs="Calibri"/>
          <w:sz w:val="20"/>
          <w:szCs w:val="20"/>
          <w:lang w:val="en-AU"/>
        </w:rPr>
        <w:t xml:space="preserve"> in the </w:t>
      </w:r>
      <w:proofErr w:type="spellStart"/>
      <w:r w:rsidR="003A3846">
        <w:rPr>
          <w:rFonts w:ascii="Calibri" w:hAnsi="Calibri" w:cs="Calibri"/>
          <w:sz w:val="20"/>
          <w:szCs w:val="20"/>
          <w:lang w:val="en-AU"/>
        </w:rPr>
        <w:t>HitGen</w:t>
      </w:r>
      <w:proofErr w:type="spellEnd"/>
      <w:r w:rsidR="003A384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F254C">
        <w:rPr>
          <w:rFonts w:ascii="Calibri" w:hAnsi="Calibri" w:cs="Calibri"/>
          <w:sz w:val="20"/>
          <w:szCs w:val="20"/>
          <w:lang w:val="en-AU"/>
        </w:rPr>
        <w:t>DEL screen</w:t>
      </w:r>
      <w:r w:rsidR="003A3846">
        <w:rPr>
          <w:rFonts w:ascii="Calibri" w:hAnsi="Calibri" w:cs="Calibri"/>
          <w:sz w:val="20"/>
          <w:szCs w:val="20"/>
          <w:lang w:val="en-AU"/>
        </w:rPr>
        <w:t xml:space="preserve"> performed by the MFP</w:t>
      </w:r>
      <w:r w:rsidR="007F254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0454B">
        <w:rPr>
          <w:rFonts w:ascii="Calibri" w:hAnsi="Calibri" w:cs="Calibri"/>
          <w:sz w:val="20"/>
          <w:szCs w:val="20"/>
          <w:lang w:val="en-AU"/>
        </w:rPr>
        <w:t>DEL h</w:t>
      </w:r>
      <w:r w:rsidR="007F254C">
        <w:rPr>
          <w:rFonts w:ascii="Calibri" w:hAnsi="Calibri" w:cs="Calibri"/>
          <w:sz w:val="20"/>
          <w:szCs w:val="20"/>
          <w:lang w:val="en-AU"/>
        </w:rPr>
        <w:t xml:space="preserve">its were identified and triaged for synthesis </w:t>
      </w:r>
      <w:r w:rsidR="003A3846">
        <w:rPr>
          <w:rFonts w:ascii="Calibri" w:hAnsi="Calibri" w:cs="Calibri"/>
          <w:sz w:val="20"/>
          <w:szCs w:val="20"/>
          <w:lang w:val="en-AU"/>
        </w:rPr>
        <w:t>based on their druglike properties and unique chemotypes. Synthesised hits were then</w:t>
      </w:r>
      <w:r w:rsidR="007F254C">
        <w:rPr>
          <w:rFonts w:ascii="Calibri" w:hAnsi="Calibri" w:cs="Calibri"/>
          <w:sz w:val="20"/>
          <w:szCs w:val="20"/>
          <w:lang w:val="en-AU"/>
        </w:rPr>
        <w:t xml:space="preserve"> validated using a cAMP assay</w:t>
      </w:r>
      <w:r w:rsidR="003A3846">
        <w:rPr>
          <w:rFonts w:ascii="Calibri" w:hAnsi="Calibri" w:cs="Calibri"/>
          <w:sz w:val="20"/>
          <w:szCs w:val="20"/>
          <w:lang w:val="en-AU"/>
        </w:rPr>
        <w:t xml:space="preserve"> testing for both agonist and antagonist behaviour</w:t>
      </w:r>
      <w:r w:rsidR="0020454B">
        <w:rPr>
          <w:rFonts w:ascii="Calibri" w:hAnsi="Calibri" w:cs="Calibri"/>
          <w:sz w:val="20"/>
          <w:szCs w:val="20"/>
          <w:lang w:val="en-AU"/>
        </w:rPr>
        <w:t xml:space="preserve"> of the compounds</w:t>
      </w:r>
      <w:r w:rsidR="007F254C">
        <w:rPr>
          <w:rFonts w:ascii="Calibri" w:hAnsi="Calibri" w:cs="Calibri"/>
          <w:sz w:val="20"/>
          <w:szCs w:val="20"/>
          <w:lang w:val="en-AU"/>
        </w:rPr>
        <w:t>.</w:t>
      </w:r>
    </w:p>
    <w:p w14:paraId="4B10C704" w14:textId="5B308BAA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F254C">
        <w:rPr>
          <w:rFonts w:ascii="Calibri" w:hAnsi="Calibri" w:cs="Calibri"/>
          <w:sz w:val="20"/>
          <w:szCs w:val="20"/>
          <w:lang w:val="en-AU"/>
        </w:rPr>
        <w:t>This successful DEL screen identified several novel chemotypes for GPR88. Functional validation revealed a number of these displayed weak agonist properties</w:t>
      </w:r>
      <w:r w:rsidR="003A3846">
        <w:rPr>
          <w:rFonts w:ascii="Calibri" w:hAnsi="Calibri" w:cs="Calibri"/>
          <w:sz w:val="20"/>
          <w:szCs w:val="20"/>
          <w:lang w:val="en-AU"/>
        </w:rPr>
        <w:t xml:space="preserve"> in a cAMP </w:t>
      </w:r>
      <w:r w:rsidR="00956876">
        <w:rPr>
          <w:rFonts w:ascii="Calibri" w:hAnsi="Calibri" w:cs="Calibri"/>
          <w:sz w:val="20"/>
          <w:szCs w:val="20"/>
          <w:lang w:val="en-AU"/>
        </w:rPr>
        <w:t>assay and</w:t>
      </w:r>
      <w:r w:rsidR="003A3846">
        <w:rPr>
          <w:rFonts w:ascii="Calibri" w:hAnsi="Calibri" w:cs="Calibri"/>
          <w:sz w:val="20"/>
          <w:szCs w:val="20"/>
          <w:lang w:val="en-AU"/>
        </w:rPr>
        <w:t xml:space="preserve"> serve as a good starting point for future medicinal chemistry efforts.</w:t>
      </w:r>
    </w:p>
    <w:p w14:paraId="1C4C8B36" w14:textId="33447084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A3846">
        <w:rPr>
          <w:rFonts w:ascii="Calibri" w:hAnsi="Calibri" w:cs="Calibri"/>
          <w:sz w:val="20"/>
          <w:szCs w:val="20"/>
          <w:lang w:val="en-AU"/>
        </w:rPr>
        <w:t xml:space="preserve">DEL screening for GPCRs </w:t>
      </w:r>
      <w:r w:rsidR="005A5474">
        <w:rPr>
          <w:rFonts w:ascii="Calibri" w:hAnsi="Calibri" w:cs="Calibri"/>
          <w:sz w:val="20"/>
          <w:szCs w:val="20"/>
          <w:lang w:val="en-AU"/>
        </w:rPr>
        <w:t>is</w:t>
      </w:r>
      <w:r w:rsidR="003A3846">
        <w:rPr>
          <w:rFonts w:ascii="Calibri" w:hAnsi="Calibri" w:cs="Calibri"/>
          <w:sz w:val="20"/>
          <w:szCs w:val="20"/>
          <w:lang w:val="en-AU"/>
        </w:rPr>
        <w:t xml:space="preserve"> difficult due to the micelle</w:t>
      </w:r>
      <w:r w:rsidR="005A5474">
        <w:rPr>
          <w:rFonts w:ascii="Calibri" w:hAnsi="Calibri" w:cs="Calibri"/>
          <w:sz w:val="20"/>
          <w:szCs w:val="20"/>
          <w:lang w:val="en-AU"/>
        </w:rPr>
        <w:t>/membrane</w:t>
      </w:r>
      <w:r w:rsidR="003A3846">
        <w:rPr>
          <w:rFonts w:ascii="Calibri" w:hAnsi="Calibri" w:cs="Calibri"/>
          <w:sz w:val="20"/>
          <w:szCs w:val="20"/>
          <w:lang w:val="en-AU"/>
        </w:rPr>
        <w:t xml:space="preserve"> embedded nature of th</w:t>
      </w:r>
      <w:r w:rsidR="005A5474">
        <w:rPr>
          <w:rFonts w:ascii="Calibri" w:hAnsi="Calibri" w:cs="Calibri"/>
          <w:sz w:val="20"/>
          <w:szCs w:val="20"/>
          <w:lang w:val="en-AU"/>
        </w:rPr>
        <w:t>is type of</w:t>
      </w:r>
      <w:r w:rsidR="003A3846">
        <w:rPr>
          <w:rFonts w:ascii="Calibri" w:hAnsi="Calibri" w:cs="Calibri"/>
          <w:sz w:val="20"/>
          <w:szCs w:val="20"/>
          <w:lang w:val="en-AU"/>
        </w:rPr>
        <w:t xml:space="preserve"> receptor. We leveraged our vast experience in GPR88 biochemistry with the DEL experience of the MFP</w:t>
      </w:r>
      <w:r w:rsidR="00E363F1">
        <w:rPr>
          <w:rFonts w:ascii="Calibri" w:hAnsi="Calibri" w:cs="Calibri"/>
          <w:sz w:val="20"/>
          <w:szCs w:val="20"/>
          <w:lang w:val="en-AU"/>
        </w:rPr>
        <w:t xml:space="preserve"> to enable a successful screening campaign resulting in novel leads for the development of therapeutics targeting GPR88 as a novel means to treat substance use disorder.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666E"/>
    <w:rsid w:val="000A4FA6"/>
    <w:rsid w:val="00171A37"/>
    <w:rsid w:val="0020454B"/>
    <w:rsid w:val="002272B0"/>
    <w:rsid w:val="00300B92"/>
    <w:rsid w:val="003238D9"/>
    <w:rsid w:val="00387491"/>
    <w:rsid w:val="003A3846"/>
    <w:rsid w:val="00444224"/>
    <w:rsid w:val="00483B05"/>
    <w:rsid w:val="004D073A"/>
    <w:rsid w:val="004E28B9"/>
    <w:rsid w:val="004E50FC"/>
    <w:rsid w:val="004E5450"/>
    <w:rsid w:val="0059609A"/>
    <w:rsid w:val="00597659"/>
    <w:rsid w:val="005A5474"/>
    <w:rsid w:val="005D1700"/>
    <w:rsid w:val="005E48A2"/>
    <w:rsid w:val="005E62BE"/>
    <w:rsid w:val="00711813"/>
    <w:rsid w:val="00724E3C"/>
    <w:rsid w:val="00743C46"/>
    <w:rsid w:val="00760B17"/>
    <w:rsid w:val="007F254C"/>
    <w:rsid w:val="00885303"/>
    <w:rsid w:val="008909C9"/>
    <w:rsid w:val="00947B77"/>
    <w:rsid w:val="00956876"/>
    <w:rsid w:val="009E2228"/>
    <w:rsid w:val="009F06D6"/>
    <w:rsid w:val="00A266B4"/>
    <w:rsid w:val="00A71DEF"/>
    <w:rsid w:val="00AE2DA6"/>
    <w:rsid w:val="00B74EBC"/>
    <w:rsid w:val="00BC5FCC"/>
    <w:rsid w:val="00C132EC"/>
    <w:rsid w:val="00C60A71"/>
    <w:rsid w:val="00CD3250"/>
    <w:rsid w:val="00D55F3B"/>
    <w:rsid w:val="00DA2731"/>
    <w:rsid w:val="00E363F1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5C681"/>
  <w15:chartTrackingRefBased/>
  <w15:docId w15:val="{C16A17EC-B5EE-5E42-9132-6AC9F8B8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Natalie Diepenhorst</cp:lastModifiedBy>
  <cp:revision>6</cp:revision>
  <cp:lastPrinted>2013-06-13T05:15:00Z</cp:lastPrinted>
  <dcterms:created xsi:type="dcterms:W3CDTF">2025-09-11T22:53:00Z</dcterms:created>
  <dcterms:modified xsi:type="dcterms:W3CDTF">2025-09-11T22:58:00Z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