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2586" w14:textId="77777777" w:rsidR="00462470" w:rsidRDefault="00462470" w:rsidP="00462470">
      <w:pPr>
        <w:spacing w:after="0" w:line="240" w:lineRule="auto"/>
        <w:rPr>
          <w:rFonts w:ascii="Arial" w:hAnsi="Arial" w:cs="Calibri"/>
          <w:b/>
          <w:bCs/>
          <w:kern w:val="0"/>
          <w:lang w:val="en-US" w:eastAsia="ja-JP"/>
          <w14:ligatures w14:val="none"/>
        </w:rPr>
      </w:pPr>
      <w:r w:rsidRPr="00040B22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Single-Cell </w:t>
      </w:r>
      <w:r w:rsidRPr="00026BC8">
        <w:rPr>
          <w:rFonts w:ascii="Arial" w:hAnsi="Arial" w:cs="Calibri"/>
          <w:b/>
          <w:bCs/>
          <w:kern w:val="0"/>
          <w:lang w:eastAsia="ja-JP"/>
          <w14:ligatures w14:val="none"/>
        </w:rPr>
        <w:t>Transcriptomic</w:t>
      </w:r>
      <w:r w:rsidRPr="00040B22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 Analysis</w:t>
      </w:r>
      <w:r w:rsidRPr="00040B22" w:rsidDel="00026BC8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 </w:t>
      </w:r>
      <w:r w:rsidRPr="00040B22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of </w:t>
      </w:r>
      <w:proofErr w:type="spellStart"/>
      <w:r w:rsidRPr="00040B22">
        <w:rPr>
          <w:rFonts w:ascii="Arial" w:hAnsi="Arial" w:cs="Calibri"/>
          <w:b/>
          <w:bCs/>
          <w:kern w:val="0"/>
          <w:lang w:val="en-US" w:eastAsia="ja-JP"/>
          <w14:ligatures w14:val="none"/>
        </w:rPr>
        <w:t>Wnt</w:t>
      </w:r>
      <w:proofErr w:type="spellEnd"/>
      <w:r w:rsidRPr="00040B22">
        <w:rPr>
          <w:rFonts w:ascii="Arial" w:hAnsi="Arial" w:cs="Calibri"/>
          <w:b/>
          <w:bCs/>
          <w:kern w:val="0"/>
          <w:lang w:val="en-US" w:eastAsia="ja-JP"/>
          <w14:ligatures w14:val="none"/>
        </w:rPr>
        <w:t>/β-Catenin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 xml:space="preserve">-mediated Differentiation Pathways in </w:t>
      </w:r>
      <w:r w:rsidRPr="00040B22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Mouse Trophoblast Stem Cells </w:t>
      </w:r>
    </w:p>
    <w:p w14:paraId="56AC4CC9" w14:textId="77777777" w:rsidR="00462470" w:rsidRDefault="00462470" w:rsidP="00462470">
      <w:pPr>
        <w:spacing w:after="0" w:line="240" w:lineRule="auto"/>
        <w:rPr>
          <w:rFonts w:ascii="Arial" w:hAnsi="Arial" w:cs="Calibri"/>
          <w:b/>
          <w:bCs/>
          <w:kern w:val="0"/>
          <w:lang w:val="en-US" w:eastAsia="ja-JP"/>
          <w14:ligatures w14:val="none"/>
        </w:rPr>
      </w:pPr>
    </w:p>
    <w:p w14:paraId="2B0AA352" w14:textId="77777777" w:rsidR="00462470" w:rsidRPr="007343C5" w:rsidRDefault="00462470" w:rsidP="00462470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proofErr w:type="spellStart"/>
      <w:r>
        <w:rPr>
          <w:rFonts w:ascii="Arial" w:hAnsi="Arial" w:cs="Calibri" w:hint="eastAsia"/>
          <w:b/>
          <w:kern w:val="0"/>
          <w:sz w:val="20"/>
          <w:szCs w:val="20"/>
          <w:u w:val="single"/>
          <w:lang w:eastAsia="ja-JP"/>
          <w14:ligatures w14:val="none"/>
        </w:rPr>
        <w:t>Takuro</w:t>
      </w:r>
      <w:proofErr w:type="spellEnd"/>
      <w:r>
        <w:rPr>
          <w:rFonts w:ascii="Arial" w:hAnsi="Arial" w:cs="Calibri" w:hint="eastAsia"/>
          <w:b/>
          <w:kern w:val="0"/>
          <w:sz w:val="20"/>
          <w:szCs w:val="20"/>
          <w:u w:val="single"/>
          <w:lang w:eastAsia="ja-JP"/>
          <w14:ligatures w14:val="none"/>
        </w:rPr>
        <w:t xml:space="preserve"> Ishinabe</w:t>
      </w:r>
      <w:r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Saki Noguchi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Natsuki Suganuma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Tomohiro Nishimura</w:t>
      </w:r>
      <w:r w:rsidRPr="00C23130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1,2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Toshiaki Tsuchitani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Masatoshi Tomi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522854A2" w14:textId="77777777" w:rsidR="00462470" w:rsidRDefault="00462470" w:rsidP="00462470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7343C5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Faculty of Pharmacy, Keio University</w:t>
      </w:r>
      <w:r w:rsidRPr="007343C5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Pr="007343C5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Minato-ku, </w:t>
      </w:r>
      <w:r w:rsidRPr="007343C5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Tokyo, Japan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</w:p>
    <w:p w14:paraId="7043AE81" w14:textId="77777777" w:rsidR="00462470" w:rsidRDefault="00462470" w:rsidP="00462470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Faculty of Pharmacy, Juntendo University</w:t>
      </w:r>
      <w:r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2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proofErr w:type="spellStart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Urayasu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Chiba, Japan.</w:t>
      </w:r>
    </w:p>
    <w:p w14:paraId="6F8A7B07" w14:textId="77777777" w:rsidR="00462470" w:rsidRPr="007343C5" w:rsidRDefault="00462470" w:rsidP="00462470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2E9EB89A" w14:textId="77777777" w:rsidR="00462470" w:rsidRPr="003A1BFC" w:rsidRDefault="00462470" w:rsidP="00462470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bookmarkStart w:id="0" w:name="_Hlk199597839"/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Placental t</w:t>
      </w:r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rophoblast stem cells (TSCs) differentiate into various placental trophoblast lineages, including trophoblast giant cells (TGCs), spongiotrophoblasts (</w:t>
      </w:r>
      <w:proofErr w:type="spellStart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SpTs</w:t>
      </w:r>
      <w:proofErr w:type="spellEnd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), and </w:t>
      </w:r>
      <w:proofErr w:type="spellStart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syncytiotrophoblasts</w:t>
      </w:r>
      <w:proofErr w:type="spellEnd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</w:t>
      </w:r>
      <w:proofErr w:type="spellStart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SynTs</w:t>
      </w:r>
      <w:proofErr w:type="spellEnd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).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 mice</w:t>
      </w:r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the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placental barrier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is comprised of two layers of </w:t>
      </w:r>
      <w:proofErr w:type="spellStart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SynTs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with </w:t>
      </w:r>
      <w:proofErr w:type="spellStart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SynT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-II comprising the </w:t>
      </w:r>
      <w:proofErr w:type="spellStart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fetal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side layer</w:t>
      </w:r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proofErr w:type="spellStart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Wnt</w:t>
      </w:r>
      <w:proofErr w:type="spellEnd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/β-catenin signalling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is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reportedly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essential for differentiation to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-II cells </w:t>
      </w:r>
      <w:r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in vivo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This study aims to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observe whether</w:t>
      </w:r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mouse TSCs can be selectively differentiated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-II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via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Wnt</w:t>
      </w:r>
      <w:proofErr w:type="spellEnd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/β-catenin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activation </w:t>
      </w:r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using single-cell RNA sequencing (</w:t>
      </w:r>
      <w:proofErr w:type="spellStart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scRNA</w:t>
      </w:r>
      <w:proofErr w:type="spellEnd"/>
      <w:r w:rsidRPr="004706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-seq).</w:t>
      </w:r>
    </w:p>
    <w:p w14:paraId="1A1CA591" w14:textId="77777777" w:rsidR="00462470" w:rsidRPr="00C315D2" w:rsidRDefault="00462470" w:rsidP="00462470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5808794D" w14:textId="77777777" w:rsidR="00462470" w:rsidRDefault="00462470" w:rsidP="00462470">
      <w:pPr>
        <w:spacing w:after="0" w:line="240" w:lineRule="auto"/>
        <w:jc w:val="both"/>
        <w:rPr>
          <w:rFonts w:ascii="Arial" w:hAnsi="Arial" w:cs="Calibri"/>
          <w:b/>
          <w:bCs/>
          <w:kern w:val="0"/>
          <w:sz w:val="20"/>
          <w:szCs w:val="20"/>
          <w:lang w:eastAsia="ja-JP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The </w:t>
      </w:r>
      <w:proofErr w:type="spellStart"/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scRNA</w:t>
      </w:r>
      <w:proofErr w:type="spellEnd"/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-seq was</w:t>
      </w:r>
      <w:r w:rsidRPr="00A8461B" w:rsidDel="005F276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conducted on mouse </w:t>
      </w:r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TSCs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that </w:t>
      </w:r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were cultured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in</w:t>
      </w:r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standard differentiation medium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or</w:t>
      </w:r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in </w:t>
      </w:r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differentiation medium supplemented with the </w:t>
      </w:r>
      <w:proofErr w:type="spellStart"/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Wnt</w:t>
      </w:r>
      <w:proofErr w:type="spellEnd"/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/β-catenin activator CHIR99021. Data were integrated with existing single-nucle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us</w:t>
      </w:r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RNA-seq datasets from mouse placental tissues (E9.5–E14.5) for comparative analysis. Cell clusters were identified based on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the expression of </w:t>
      </w:r>
      <w:r w:rsidRPr="00A8461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established markers. Epithelial-mesenchymal transition (EMT) gene expression profiles were analysed using principal component analysis (PCA). </w:t>
      </w:r>
    </w:p>
    <w:p w14:paraId="58225FB4" w14:textId="77777777" w:rsidR="00462470" w:rsidRDefault="00462470" w:rsidP="00462470">
      <w:pPr>
        <w:spacing w:after="0" w:line="240" w:lineRule="auto"/>
        <w:jc w:val="both"/>
        <w:rPr>
          <w:rFonts w:ascii="Arial" w:hAnsi="Arial" w:cs="Calibri"/>
          <w:b/>
          <w:bCs/>
          <w:kern w:val="0"/>
          <w:sz w:val="20"/>
          <w:szCs w:val="20"/>
          <w:lang w:eastAsia="ja-JP"/>
          <w14:ligatures w14:val="none"/>
        </w:rPr>
      </w:pPr>
    </w:p>
    <w:p w14:paraId="39BE6956" w14:textId="77777777" w:rsidR="00462470" w:rsidRPr="00B662B8" w:rsidRDefault="00462470" w:rsidP="00462470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Pr="00BD7381">
        <w:t xml:space="preserve"> </w:t>
      </w:r>
      <w:r w:rsidRPr="00C2313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>The a</w:t>
      </w:r>
      <w:r w:rsidRPr="00C231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ctivation of </w:t>
      </w:r>
      <w:proofErr w:type="spellStart"/>
      <w:r w:rsidRPr="00C231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Wnt</w:t>
      </w:r>
      <w:proofErr w:type="spellEnd"/>
      <w:r w:rsidRPr="00C231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/β-catenin signalling result</w:t>
      </w:r>
      <w:r w:rsidRPr="00C2313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 xml:space="preserve">ed in an </w:t>
      </w:r>
      <w:r w:rsidRPr="00C231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increase </w:t>
      </w:r>
      <w:r w:rsidRPr="00C2313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 xml:space="preserve">in </w:t>
      </w:r>
      <w:r w:rsidRPr="00C231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proportion of </w:t>
      </w:r>
      <w:proofErr w:type="spellStart"/>
      <w:r w:rsidRPr="00C231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 w:rsidRPr="00C231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-II-related cell clusters from 11% to 25%. However, a more pronounced increase in junctional zone-like </w:t>
      </w:r>
      <w:r w:rsidRPr="00C23130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 xml:space="preserve">linage </w:t>
      </w:r>
      <w:r w:rsidRPr="00C231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cell clu</w:t>
      </w:r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>sters</w:t>
      </w:r>
      <w:r>
        <w:rPr>
          <w:rFonts w:ascii="Arial" w:hAnsi="Arial" w:cs="Arial" w:hint="eastAsia"/>
          <w:kern w:val="0"/>
          <w:sz w:val="20"/>
          <w:szCs w:val="20"/>
          <w:lang w:eastAsia="ja-JP"/>
          <w14:ligatures w14:val="none"/>
        </w:rPr>
        <w:t xml:space="preserve"> was observed</w:t>
      </w:r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from 8% to 32%, suggesting that </w:t>
      </w:r>
      <w:proofErr w:type="spellStart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>Wnt</w:t>
      </w:r>
      <w:proofErr w:type="spellEnd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activation broadly promotes differentiation into multiple trophoblast lineages. PCA indicated that </w:t>
      </w:r>
      <w:proofErr w:type="spellStart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>SynT</w:t>
      </w:r>
      <w:proofErr w:type="spellEnd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-II-related clusters exhibited epithelial characteristics, whereas </w:t>
      </w:r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non-</w:t>
      </w:r>
      <w:proofErr w:type="spellStart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-II</w:t>
      </w:r>
      <w:r w:rsidRPr="00B662B8" w:rsidDel="002C001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>trophoblast lineages</w:t>
      </w:r>
      <w:r>
        <w:rPr>
          <w:rFonts w:ascii="Arial" w:hAnsi="Arial" w:cs="Arial" w:hint="eastAsia"/>
          <w:kern w:val="0"/>
          <w:sz w:val="20"/>
          <w:szCs w:val="20"/>
          <w:lang w:eastAsia="ja-JP"/>
          <w14:ligatures w14:val="none"/>
        </w:rPr>
        <w:t xml:space="preserve"> </w:t>
      </w:r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displayed mesenchymal traits. </w:t>
      </w:r>
      <w:r>
        <w:rPr>
          <w:rFonts w:ascii="Arial" w:hAnsi="Arial" w:cs="Arial" w:hint="eastAsia"/>
          <w:kern w:val="0"/>
          <w:sz w:val="20"/>
          <w:szCs w:val="20"/>
          <w:lang w:eastAsia="ja-JP"/>
          <w14:ligatures w14:val="none"/>
        </w:rPr>
        <w:t xml:space="preserve">Genes </w:t>
      </w:r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upregulated in </w:t>
      </w:r>
      <w:r>
        <w:rPr>
          <w:rFonts w:ascii="Arial" w:hAnsi="Arial" w:cs="Arial" w:hint="eastAsia"/>
          <w:kern w:val="0"/>
          <w:sz w:val="20"/>
          <w:szCs w:val="20"/>
          <w:lang w:eastAsia="ja-JP"/>
          <w14:ligatures w14:val="none"/>
        </w:rPr>
        <w:t>the initial differentiation step into</w:t>
      </w:r>
      <w:r w:rsidRPr="00C2313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non-</w:t>
      </w:r>
      <w:proofErr w:type="spellStart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-II</w:t>
      </w:r>
      <w:r>
        <w:rPr>
          <w:rFonts w:ascii="Arial" w:hAnsi="Arial" w:cs="Arial" w:hint="eastAsia"/>
          <w:kern w:val="0"/>
          <w:sz w:val="20"/>
          <w:szCs w:val="20"/>
          <w:lang w:eastAsia="ja-JP"/>
          <w14:ligatures w14:val="none"/>
        </w:rPr>
        <w:t xml:space="preserve"> </w:t>
      </w:r>
      <w:r w:rsidRPr="00F93688">
        <w:rPr>
          <w:rFonts w:ascii="Arial" w:hAnsi="Arial" w:cs="Arial"/>
          <w:kern w:val="0"/>
          <w:sz w:val="20"/>
          <w:szCs w:val="20"/>
          <w:lang w:eastAsia="ja-JP"/>
          <w14:ligatures w14:val="none"/>
        </w:rPr>
        <w:t>trophoblast</w:t>
      </w:r>
      <w:r>
        <w:rPr>
          <w:rFonts w:ascii="Arial" w:hAnsi="Arial" w:cs="Arial" w:hint="eastAsia"/>
          <w:kern w:val="0"/>
          <w:sz w:val="20"/>
          <w:szCs w:val="20"/>
          <w:lang w:eastAsia="ja-JP"/>
          <w14:ligatures w14:val="none"/>
        </w:rPr>
        <w:t>s</w:t>
      </w:r>
      <w:r w:rsidRPr="00F93688">
        <w:rPr>
          <w:rFonts w:ascii="Arial" w:hAnsi="Arial" w:cs="Arial"/>
          <w:kern w:val="0"/>
          <w:sz w:val="20"/>
          <w:szCs w:val="20"/>
          <w:lang w:eastAsia="ja-JP"/>
          <w14:ligatures w14:val="none"/>
        </w:rPr>
        <w:t xml:space="preserve"> </w:t>
      </w:r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under </w:t>
      </w:r>
      <w:proofErr w:type="spellStart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>Wnt</w:t>
      </w:r>
      <w:proofErr w:type="spellEnd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activation </w:t>
      </w:r>
      <w:r>
        <w:rPr>
          <w:rFonts w:ascii="Arial" w:hAnsi="Arial" w:cs="Arial" w:hint="eastAsia"/>
          <w:kern w:val="0"/>
          <w:sz w:val="20"/>
          <w:szCs w:val="20"/>
          <w:lang w:eastAsia="ja-JP"/>
          <w14:ligatures w14:val="none"/>
        </w:rPr>
        <w:t>includes</w:t>
      </w:r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transcription factors such as Ascl2 (involved in </w:t>
      </w:r>
      <w:proofErr w:type="spellStart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>SpT</w:t>
      </w:r>
      <w:proofErr w:type="spellEnd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and TGC differentiation), Satb1 (associated with TSC maintenance), </w:t>
      </w:r>
      <w:proofErr w:type="spellStart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>Myc</w:t>
      </w:r>
      <w:proofErr w:type="spellEnd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(a downstream target of Satb1 in EMT), and Irx3 (a reported </w:t>
      </w:r>
      <w:proofErr w:type="spellStart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>Wnt</w:t>
      </w:r>
      <w:proofErr w:type="spellEnd"/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target), highlighting their potential roles in trophoblast lineage specification</w:t>
      </w:r>
      <w:r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  <w:t>.</w:t>
      </w:r>
    </w:p>
    <w:p w14:paraId="58DBE620" w14:textId="77777777" w:rsidR="00462470" w:rsidRDefault="00462470" w:rsidP="00462470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07184A52" w14:textId="77777777" w:rsidR="00462470" w:rsidRPr="005B2ED8" w:rsidRDefault="00462470" w:rsidP="00462470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Wnt</w:t>
      </w:r>
      <w:proofErr w:type="spellEnd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/β-catenin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signal</w:t>
      </w:r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activation in </w:t>
      </w:r>
      <w:proofErr w:type="spellStart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mTSCs</w:t>
      </w:r>
      <w:proofErr w:type="spellEnd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promotes differentiation towards </w:t>
      </w:r>
      <w:proofErr w:type="spellStart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-II cells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r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however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it</w:t>
      </w:r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also significantly induces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differentiation to </w:t>
      </w:r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other trophoblast lineages, particularly </w:t>
      </w:r>
      <w:r w:rsidRPr="00B662B8">
        <w:rPr>
          <w:rFonts w:ascii="Arial" w:eastAsia="Calibri" w:hAnsi="Arial" w:cs="Arial"/>
          <w:kern w:val="0"/>
          <w:sz w:val="20"/>
          <w:szCs w:val="20"/>
          <w14:ligatures w14:val="none"/>
        </w:rPr>
        <w:t>junctional zone</w:t>
      </w:r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-like lineages. EMT appears to be a key mechanism in the differentiation of non-</w:t>
      </w:r>
      <w:proofErr w:type="spellStart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SynT</w:t>
      </w:r>
      <w:proofErr w:type="spellEnd"/>
      <w:r w:rsidRPr="005B2E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-II trophoblasts. This study provides valuable insights into the regulatory networks governing trophoblast differentiation and offers a foundation for developing in vitro models of the placental barrier.</w:t>
      </w:r>
      <w:bookmarkEnd w:id="0"/>
    </w:p>
    <w:p w14:paraId="7D6E388F" w14:textId="54CD1B56" w:rsidR="00113BB7" w:rsidRPr="00462470" w:rsidRDefault="00113BB7" w:rsidP="00462470"/>
    <w:sectPr w:rsidR="00113BB7" w:rsidRPr="00462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3275" w14:textId="77777777" w:rsidR="008104B1" w:rsidRDefault="008104B1" w:rsidP="00462470">
      <w:pPr>
        <w:spacing w:after="0" w:line="240" w:lineRule="auto"/>
      </w:pPr>
      <w:r>
        <w:separator/>
      </w:r>
    </w:p>
  </w:endnote>
  <w:endnote w:type="continuationSeparator" w:id="0">
    <w:p w14:paraId="72A4D462" w14:textId="77777777" w:rsidR="008104B1" w:rsidRDefault="008104B1" w:rsidP="004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3E0F" w14:textId="77777777" w:rsidR="008104B1" w:rsidRDefault="008104B1" w:rsidP="00462470">
      <w:pPr>
        <w:spacing w:after="0" w:line="240" w:lineRule="auto"/>
      </w:pPr>
      <w:r>
        <w:separator/>
      </w:r>
    </w:p>
  </w:footnote>
  <w:footnote w:type="continuationSeparator" w:id="0">
    <w:p w14:paraId="49DB8C59" w14:textId="77777777" w:rsidR="008104B1" w:rsidRDefault="008104B1" w:rsidP="00462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2017E6"/>
    <w:rsid w:val="00294059"/>
    <w:rsid w:val="003206E4"/>
    <w:rsid w:val="003A6D5C"/>
    <w:rsid w:val="0044042F"/>
    <w:rsid w:val="00462470"/>
    <w:rsid w:val="004A51B6"/>
    <w:rsid w:val="00510CF8"/>
    <w:rsid w:val="00575A29"/>
    <w:rsid w:val="00601754"/>
    <w:rsid w:val="006A34BE"/>
    <w:rsid w:val="006F3F1C"/>
    <w:rsid w:val="007141F2"/>
    <w:rsid w:val="007561D8"/>
    <w:rsid w:val="00795378"/>
    <w:rsid w:val="00796206"/>
    <w:rsid w:val="007C367E"/>
    <w:rsid w:val="008071C5"/>
    <w:rsid w:val="008104B1"/>
    <w:rsid w:val="00906D34"/>
    <w:rsid w:val="00933DC9"/>
    <w:rsid w:val="00936D4C"/>
    <w:rsid w:val="009523F9"/>
    <w:rsid w:val="009650DF"/>
    <w:rsid w:val="009B1CBB"/>
    <w:rsid w:val="00A0516D"/>
    <w:rsid w:val="00A44B28"/>
    <w:rsid w:val="00B4721D"/>
    <w:rsid w:val="00B8473A"/>
    <w:rsid w:val="00C21815"/>
    <w:rsid w:val="00C315D2"/>
    <w:rsid w:val="00C353D8"/>
    <w:rsid w:val="00CF5A91"/>
    <w:rsid w:val="00D02BB1"/>
    <w:rsid w:val="00D45A74"/>
    <w:rsid w:val="00D7428F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24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2470"/>
  </w:style>
  <w:style w:type="paragraph" w:styleId="ac">
    <w:name w:val="footer"/>
    <w:basedOn w:val="a"/>
    <w:link w:val="ad"/>
    <w:uiPriority w:val="99"/>
    <w:unhideWhenUsed/>
    <w:rsid w:val="004624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taku.taku_0914@keio.jp</cp:lastModifiedBy>
  <cp:revision>2</cp:revision>
  <dcterms:created xsi:type="dcterms:W3CDTF">2025-05-31T09:56:00Z</dcterms:created>
  <dcterms:modified xsi:type="dcterms:W3CDTF">2025-05-31T09:56:00Z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