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CFCA9" w14:textId="477CD649" w:rsidR="00711813" w:rsidRPr="004E5450" w:rsidRDefault="005C1B4F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 w:rsidRPr="005C1B4F">
        <w:rPr>
          <w:rFonts w:ascii="Calibri" w:hAnsi="Calibri" w:cs="Calibri"/>
          <w:b/>
          <w:sz w:val="20"/>
          <w:szCs w:val="20"/>
          <w:lang w:val="en-AU"/>
        </w:rPr>
        <w:t>Antipsychotic drug interactions and risk of mortality in people with dementia</w:t>
      </w:r>
    </w:p>
    <w:p w14:paraId="4468D045" w14:textId="06B80050" w:rsidR="005C1B4F" w:rsidRPr="004E5450" w:rsidRDefault="005C1B4F" w:rsidP="005C1B4F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BF7E84">
        <w:rPr>
          <w:rFonts w:ascii="Calibri" w:hAnsi="Calibri" w:cs="Calibri"/>
          <w:sz w:val="20"/>
          <w:szCs w:val="20"/>
          <w:lang w:val="en-AU"/>
        </w:rPr>
        <w:t>Edward C.Y. Lau</w:t>
      </w:r>
      <w:r w:rsidRPr="00BF7E84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>, Grace H. Shim</w:t>
      </w:r>
      <w:r w:rsidRPr="00BF7E84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 xml:space="preserve">, </w:t>
      </w:r>
      <w:r w:rsidRPr="007C5BA9">
        <w:rPr>
          <w:rFonts w:ascii="Calibri" w:hAnsi="Calibri" w:cs="Calibri"/>
          <w:sz w:val="20"/>
          <w:szCs w:val="20"/>
          <w:lang w:val="en-AU"/>
        </w:rPr>
        <w:t>Chin Hang Yiu</w:t>
      </w:r>
      <w:r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 xml:space="preserve"> </w:t>
      </w:r>
      <w:r w:rsidRPr="00BF7E84">
        <w:rPr>
          <w:rFonts w:ascii="Calibri" w:hAnsi="Calibri" w:cs="Calibri"/>
          <w:sz w:val="20"/>
          <w:szCs w:val="20"/>
          <w:lang w:val="en-AU"/>
        </w:rPr>
        <w:t xml:space="preserve">Sarah </w:t>
      </w:r>
      <w:r>
        <w:rPr>
          <w:rFonts w:ascii="Calibri" w:hAnsi="Calibri" w:cs="Calibri"/>
          <w:sz w:val="20"/>
          <w:szCs w:val="20"/>
          <w:lang w:val="en-AU"/>
        </w:rPr>
        <w:t xml:space="preserve">N. </w:t>
      </w:r>
      <w:r w:rsidRPr="00BF7E84">
        <w:rPr>
          <w:rFonts w:ascii="Calibri" w:hAnsi="Calibri" w:cs="Calibri"/>
          <w:sz w:val="20"/>
          <w:szCs w:val="20"/>
          <w:lang w:val="en-AU"/>
        </w:rPr>
        <w:t>Hilmer</w:t>
      </w:r>
      <w:r w:rsidRPr="00BF7E84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Pr="00BF7E84">
        <w:rPr>
          <w:rFonts w:ascii="Calibri" w:hAnsi="Calibri" w:cs="Calibri"/>
          <w:sz w:val="20"/>
          <w:szCs w:val="20"/>
          <w:lang w:val="en-AU"/>
        </w:rPr>
        <w:t>, Yun-Hee Jeon</w:t>
      </w:r>
      <w:r w:rsidRPr="00BF7E84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Pr="00BF7E84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Christine Y. Lu</w:t>
      </w:r>
      <w:r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>
        <w:rPr>
          <w:rFonts w:ascii="Calibri" w:hAnsi="Calibri" w:cs="Calibri"/>
          <w:sz w:val="20"/>
          <w:szCs w:val="20"/>
          <w:lang w:val="en-AU"/>
        </w:rPr>
        <w:t xml:space="preserve">, </w:t>
      </w:r>
      <w:r w:rsidRPr="00BF7E84">
        <w:rPr>
          <w:rFonts w:ascii="Calibri" w:hAnsi="Calibri" w:cs="Calibri"/>
          <w:sz w:val="20"/>
          <w:szCs w:val="20"/>
          <w:lang w:val="en-AU"/>
        </w:rPr>
        <w:t>Edwin C.K. Tan</w:t>
      </w:r>
      <w:r w:rsidRPr="00BF7E84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5441D4">
        <w:rPr>
          <w:rFonts w:ascii="Calibri" w:hAnsi="Calibri" w:cs="Calibri"/>
          <w:sz w:val="20"/>
          <w:szCs w:val="20"/>
          <w:vertAlign w:val="superscript"/>
          <w:lang w:val="en-AU"/>
        </w:rPr>
        <w:t>,2</w:t>
      </w:r>
      <w:r>
        <w:rPr>
          <w:rFonts w:ascii="Calibri" w:hAnsi="Calibri" w:cs="Calibri"/>
          <w:sz w:val="20"/>
          <w:szCs w:val="20"/>
          <w:lang w:val="en-AU"/>
        </w:rPr>
        <w:t>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BF7E84">
        <w:rPr>
          <w:rFonts w:ascii="Calibri" w:hAnsi="Calibri" w:cs="Calibri"/>
          <w:sz w:val="20"/>
          <w:szCs w:val="20"/>
          <w:lang w:val="en-AU"/>
        </w:rPr>
        <w:t>Sydney Pharmacy School, The University of Sydney</w:t>
      </w:r>
      <w:r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Sydney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NSW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Australia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; </w:t>
      </w:r>
      <w:r w:rsidRPr="00BF7E84">
        <w:rPr>
          <w:rFonts w:ascii="Calibri" w:hAnsi="Calibri" w:cs="Calibri"/>
          <w:sz w:val="20"/>
          <w:szCs w:val="20"/>
          <w:lang w:val="en-AU"/>
        </w:rPr>
        <w:t>Kolling Institute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Pr="00BF7E84">
        <w:rPr>
          <w:rFonts w:ascii="Calibri" w:hAnsi="Calibri" w:cs="Calibri"/>
          <w:sz w:val="20"/>
          <w:szCs w:val="20"/>
          <w:lang w:val="en-AU"/>
        </w:rPr>
        <w:t>The University of Sydney</w:t>
      </w:r>
      <w:r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 xml:space="preserve"> 2</w:t>
      </w:r>
      <w:r w:rsidRPr="004E5450">
        <w:rPr>
          <w:rFonts w:ascii="Calibri" w:hAnsi="Calibri" w:cs="Calibri"/>
          <w:sz w:val="20"/>
          <w:szCs w:val="20"/>
          <w:lang w:val="en-AU"/>
        </w:rPr>
        <w:t>,</w:t>
      </w:r>
      <w:r w:rsidRPr="00BF7E84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>Sydney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NSW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Australia,</w:t>
      </w:r>
      <w:r w:rsidRPr="00BF7E84">
        <w:rPr>
          <w:rFonts w:ascii="Calibri" w:hAnsi="Calibri" w:cs="Calibri"/>
          <w:sz w:val="20"/>
          <w:szCs w:val="20"/>
          <w:lang w:val="en-AU"/>
        </w:rPr>
        <w:t xml:space="preserve"> Susan Wakil School of Nursing and Midwifery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Pr="00BF7E84">
        <w:rPr>
          <w:rFonts w:ascii="Calibri" w:hAnsi="Calibri" w:cs="Calibri"/>
          <w:sz w:val="20"/>
          <w:szCs w:val="20"/>
          <w:lang w:val="en-AU"/>
        </w:rPr>
        <w:t>The University of Sydney</w:t>
      </w:r>
      <w:r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Pr="004E5450">
        <w:rPr>
          <w:rFonts w:ascii="Calibri" w:hAnsi="Calibri" w:cs="Calibri"/>
          <w:sz w:val="20"/>
          <w:szCs w:val="20"/>
          <w:lang w:val="en-AU"/>
        </w:rPr>
        <w:t>,</w:t>
      </w:r>
      <w:r w:rsidRPr="00BF7E84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>Sydney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NSW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Australia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</w:p>
    <w:p w14:paraId="26B5927F" w14:textId="0B25CE52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0FD46F83" w14:textId="782AEFA4" w:rsidR="00711813" w:rsidRPr="004E5450" w:rsidRDefault="00711813" w:rsidP="005C1B4F">
      <w:pPr>
        <w:pStyle w:val="Default"/>
        <w:jc w:val="both"/>
        <w:rPr>
          <w:sz w:val="20"/>
          <w:szCs w:val="20"/>
          <w:lang w:val="en-AU"/>
        </w:rPr>
      </w:pPr>
      <w:r w:rsidRPr="00444224">
        <w:rPr>
          <w:b/>
          <w:bCs/>
          <w:sz w:val="20"/>
          <w:szCs w:val="20"/>
          <w:lang w:val="en-AU"/>
        </w:rPr>
        <w:t>Introduction.</w:t>
      </w:r>
      <w:r w:rsidRPr="004E5450">
        <w:rPr>
          <w:sz w:val="20"/>
          <w:szCs w:val="20"/>
          <w:lang w:val="en-AU"/>
        </w:rPr>
        <w:t xml:space="preserve"> </w:t>
      </w:r>
      <w:r w:rsidR="00AF6AE9" w:rsidRPr="00AF6AE9">
        <w:rPr>
          <w:sz w:val="20"/>
          <w:szCs w:val="20"/>
          <w:lang w:val="en-AU"/>
        </w:rPr>
        <w:t xml:space="preserve">Antipsychotic </w:t>
      </w:r>
      <w:r w:rsidR="008975D0">
        <w:rPr>
          <w:sz w:val="20"/>
          <w:szCs w:val="20"/>
          <w:lang w:val="en-AU"/>
        </w:rPr>
        <w:t>use</w:t>
      </w:r>
      <w:r w:rsidR="008975D0" w:rsidRPr="00AF6AE9">
        <w:rPr>
          <w:sz w:val="20"/>
          <w:szCs w:val="20"/>
          <w:lang w:val="en-AU"/>
        </w:rPr>
        <w:t xml:space="preserve"> </w:t>
      </w:r>
      <w:r w:rsidR="00481B0E">
        <w:rPr>
          <w:sz w:val="20"/>
          <w:szCs w:val="20"/>
          <w:lang w:val="en-AU"/>
        </w:rPr>
        <w:t xml:space="preserve">may </w:t>
      </w:r>
      <w:r w:rsidR="00AF6AE9" w:rsidRPr="00AF6AE9">
        <w:rPr>
          <w:sz w:val="20"/>
          <w:szCs w:val="20"/>
          <w:lang w:val="en-AU"/>
        </w:rPr>
        <w:t>increase</w:t>
      </w:r>
      <w:r w:rsidR="00AF6AE9">
        <w:rPr>
          <w:sz w:val="20"/>
          <w:szCs w:val="20"/>
          <w:lang w:val="en-AU"/>
        </w:rPr>
        <w:t xml:space="preserve"> the</w:t>
      </w:r>
      <w:r w:rsidR="00AF6AE9" w:rsidRPr="00AF6AE9">
        <w:rPr>
          <w:sz w:val="20"/>
          <w:szCs w:val="20"/>
          <w:lang w:val="en-AU"/>
        </w:rPr>
        <w:t xml:space="preserve"> risk of mortality in people with dementia. Drug</w:t>
      </w:r>
      <w:r w:rsidR="00AF6AE9">
        <w:rPr>
          <w:sz w:val="20"/>
          <w:szCs w:val="20"/>
          <w:lang w:val="en-AU"/>
        </w:rPr>
        <w:t>-</w:t>
      </w:r>
      <w:r w:rsidR="00AF6AE9" w:rsidRPr="00AF6AE9">
        <w:rPr>
          <w:sz w:val="20"/>
          <w:szCs w:val="20"/>
          <w:lang w:val="en-AU"/>
        </w:rPr>
        <w:t xml:space="preserve">drug interactions (DDIs) may further exacerbate this risk; however, the mortality risk associated </w:t>
      </w:r>
      <w:r w:rsidR="006E4461">
        <w:rPr>
          <w:sz w:val="20"/>
          <w:szCs w:val="20"/>
          <w:lang w:val="en-AU"/>
        </w:rPr>
        <w:t xml:space="preserve">with this </w:t>
      </w:r>
      <w:r w:rsidR="00AF6AE9" w:rsidRPr="00AF6AE9">
        <w:rPr>
          <w:sz w:val="20"/>
          <w:szCs w:val="20"/>
          <w:lang w:val="en-AU"/>
        </w:rPr>
        <w:t>is not well understood.</w:t>
      </w:r>
    </w:p>
    <w:p w14:paraId="63C6C0F1" w14:textId="3DE759EF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AF6AE9" w:rsidRPr="00AF6AE9">
        <w:rPr>
          <w:rFonts w:ascii="Calibri" w:hAnsi="Calibri" w:cs="Calibri"/>
          <w:sz w:val="20"/>
          <w:szCs w:val="20"/>
          <w:lang w:val="en-AU"/>
        </w:rPr>
        <w:t>To identify 3-month mortality risk associated with antipsychotic-related DDIs.</w:t>
      </w:r>
      <w:r w:rsidR="005C1B4F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5AE4BAE9" w14:textId="3178C8C0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AF6AE9" w:rsidRPr="00AF6AE9">
        <w:rPr>
          <w:rFonts w:ascii="Calibri" w:hAnsi="Calibri" w:cs="Calibri"/>
          <w:sz w:val="20"/>
          <w:szCs w:val="20"/>
          <w:lang w:val="en-AU"/>
        </w:rPr>
        <w:t>This national cohort study utilised linked 2021 Census, death registration, and Pharmaceutical Benefits Scheme (PBS) data</w:t>
      </w:r>
      <w:r w:rsidR="00214ED9">
        <w:rPr>
          <w:rFonts w:ascii="Calibri" w:hAnsi="Calibri" w:cs="Calibri"/>
          <w:sz w:val="20"/>
          <w:szCs w:val="20"/>
          <w:lang w:val="en-AU"/>
        </w:rPr>
        <w:t xml:space="preserve"> in Australia</w:t>
      </w:r>
      <w:r w:rsidR="00AF6AE9" w:rsidRPr="00AF6AE9">
        <w:rPr>
          <w:rFonts w:ascii="Calibri" w:hAnsi="Calibri" w:cs="Calibri"/>
          <w:sz w:val="20"/>
          <w:szCs w:val="20"/>
          <w:lang w:val="en-AU"/>
        </w:rPr>
        <w:t xml:space="preserve">. People with dementia aged ≥65 years who initiated antipsychotic treatment between August 2021 and July 2022 were included. Antipsychotics commonly used for the management of </w:t>
      </w:r>
      <w:r w:rsidR="00214ED9" w:rsidRPr="00AF6AE9">
        <w:rPr>
          <w:rFonts w:ascii="Calibri" w:hAnsi="Calibri" w:cs="Calibri"/>
          <w:sz w:val="20"/>
          <w:szCs w:val="20"/>
          <w:lang w:val="en-AU"/>
        </w:rPr>
        <w:t>behaviour</w:t>
      </w:r>
      <w:r w:rsidR="00214ED9">
        <w:rPr>
          <w:rFonts w:ascii="Calibri" w:hAnsi="Calibri" w:cs="Calibri"/>
          <w:sz w:val="20"/>
          <w:szCs w:val="20"/>
          <w:lang w:val="en-AU"/>
        </w:rPr>
        <w:t xml:space="preserve">s </w:t>
      </w:r>
      <w:r w:rsidR="00AF6AE9" w:rsidRPr="00AF6AE9">
        <w:rPr>
          <w:rFonts w:ascii="Calibri" w:hAnsi="Calibri" w:cs="Calibri"/>
          <w:sz w:val="20"/>
          <w:szCs w:val="20"/>
          <w:lang w:val="en-AU"/>
        </w:rPr>
        <w:t xml:space="preserve">and psychological symptoms, including risperidone, olanzapine, quetiapine, aripiprazole, and haloperidol, were examined. DDIs were defined using the Micromedex database. </w:t>
      </w:r>
      <w:r w:rsidR="007447A6">
        <w:rPr>
          <w:rFonts w:ascii="Calibri" w:hAnsi="Calibri" w:cs="Calibri"/>
          <w:sz w:val="20"/>
          <w:szCs w:val="20"/>
          <w:lang w:val="en-AU"/>
        </w:rPr>
        <w:t>Adjusted r</w:t>
      </w:r>
      <w:r w:rsidR="00AF6AE9" w:rsidRPr="00AF6AE9">
        <w:rPr>
          <w:rFonts w:ascii="Calibri" w:hAnsi="Calibri" w:cs="Calibri"/>
          <w:sz w:val="20"/>
          <w:szCs w:val="20"/>
          <w:lang w:val="en-AU"/>
        </w:rPr>
        <w:t>elative risks (</w:t>
      </w:r>
      <w:proofErr w:type="spellStart"/>
      <w:r w:rsidR="007447A6">
        <w:rPr>
          <w:rFonts w:ascii="Calibri" w:hAnsi="Calibri" w:cs="Calibri"/>
          <w:sz w:val="20"/>
          <w:szCs w:val="20"/>
          <w:lang w:val="en-AU"/>
        </w:rPr>
        <w:t>a</w:t>
      </w:r>
      <w:r w:rsidR="00AF6AE9" w:rsidRPr="00AF6AE9">
        <w:rPr>
          <w:rFonts w:ascii="Calibri" w:hAnsi="Calibri" w:cs="Calibri"/>
          <w:sz w:val="20"/>
          <w:szCs w:val="20"/>
          <w:lang w:val="en-AU"/>
        </w:rPr>
        <w:t>RRs</w:t>
      </w:r>
      <w:proofErr w:type="spellEnd"/>
      <w:r w:rsidR="00AF6AE9" w:rsidRPr="00AF6AE9">
        <w:rPr>
          <w:rFonts w:ascii="Calibri" w:hAnsi="Calibri" w:cs="Calibri"/>
          <w:sz w:val="20"/>
          <w:szCs w:val="20"/>
          <w:lang w:val="en-AU"/>
        </w:rPr>
        <w:t xml:space="preserve">) </w:t>
      </w:r>
      <w:r w:rsidR="00FA6662">
        <w:rPr>
          <w:rFonts w:ascii="Calibri" w:hAnsi="Calibri" w:cs="Calibri"/>
          <w:sz w:val="20"/>
          <w:szCs w:val="20"/>
          <w:lang w:val="en-AU"/>
        </w:rPr>
        <w:t xml:space="preserve">and 95% confidence intervals (CIs) </w:t>
      </w:r>
      <w:r w:rsidR="00AF6AE9" w:rsidRPr="00AF6AE9">
        <w:rPr>
          <w:rFonts w:ascii="Calibri" w:hAnsi="Calibri" w:cs="Calibri"/>
          <w:sz w:val="20"/>
          <w:szCs w:val="20"/>
          <w:lang w:val="en-AU"/>
        </w:rPr>
        <w:t>of 3-month mortality were estimated using modified Poisson regression. Confounding</w:t>
      </w:r>
      <w:r w:rsidR="006E0E22">
        <w:rPr>
          <w:rFonts w:ascii="Calibri" w:hAnsi="Calibri" w:cs="Calibri"/>
          <w:sz w:val="20"/>
          <w:szCs w:val="20"/>
          <w:lang w:val="en-AU"/>
        </w:rPr>
        <w:t>, including</w:t>
      </w:r>
      <w:r w:rsidR="00881F2C">
        <w:rPr>
          <w:rFonts w:ascii="Calibri" w:hAnsi="Calibri" w:cs="Calibri"/>
          <w:sz w:val="20"/>
          <w:szCs w:val="20"/>
          <w:lang w:val="en-AU"/>
        </w:rPr>
        <w:t xml:space="preserve"> number of medications, clinical and sociodemogra</w:t>
      </w:r>
      <w:r w:rsidR="005249A3">
        <w:rPr>
          <w:rFonts w:ascii="Calibri" w:hAnsi="Calibri" w:cs="Calibri"/>
          <w:sz w:val="20"/>
          <w:szCs w:val="20"/>
          <w:lang w:val="en-AU"/>
        </w:rPr>
        <w:t>p</w:t>
      </w:r>
      <w:r w:rsidR="00881F2C">
        <w:rPr>
          <w:rFonts w:ascii="Calibri" w:hAnsi="Calibri" w:cs="Calibri"/>
          <w:sz w:val="20"/>
          <w:szCs w:val="20"/>
          <w:lang w:val="en-AU"/>
        </w:rPr>
        <w:t xml:space="preserve">hic </w:t>
      </w:r>
      <w:r w:rsidR="005249A3">
        <w:rPr>
          <w:rFonts w:ascii="Calibri" w:hAnsi="Calibri" w:cs="Calibri"/>
          <w:sz w:val="20"/>
          <w:szCs w:val="20"/>
          <w:lang w:val="en-AU"/>
        </w:rPr>
        <w:t>characteristics,</w:t>
      </w:r>
      <w:r w:rsidR="00AF6AE9" w:rsidRPr="00AF6AE9">
        <w:rPr>
          <w:rFonts w:ascii="Calibri" w:hAnsi="Calibri" w:cs="Calibri"/>
          <w:sz w:val="20"/>
          <w:szCs w:val="20"/>
          <w:lang w:val="en-AU"/>
        </w:rPr>
        <w:t xml:space="preserve"> was addressed using inverse probability of treatment weighting (IPTW).</w:t>
      </w:r>
      <w:r w:rsidR="00B92B71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13E362ED" w14:textId="081F07EC" w:rsidR="00711813" w:rsidRPr="004E5450" w:rsidRDefault="00711813" w:rsidP="0011089F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A3C51">
        <w:rPr>
          <w:rFonts w:ascii="Calibri" w:hAnsi="Calibri" w:cs="Calibri"/>
          <w:sz w:val="20"/>
          <w:szCs w:val="20"/>
          <w:lang w:val="en-AU"/>
        </w:rPr>
        <w:t>Overall,</w:t>
      </w:r>
      <w:r w:rsidR="0011089F" w:rsidRPr="0011089F">
        <w:rPr>
          <w:rFonts w:ascii="Calibri" w:hAnsi="Calibri" w:cs="Calibri"/>
          <w:sz w:val="20"/>
          <w:szCs w:val="20"/>
          <w:lang w:val="en-AU"/>
        </w:rPr>
        <w:t xml:space="preserve"> 9,064 incident antipsychotic users were included </w:t>
      </w:r>
      <w:r w:rsidR="000A3C51">
        <w:rPr>
          <w:rFonts w:ascii="Calibri" w:hAnsi="Calibri" w:cs="Calibri"/>
          <w:sz w:val="20"/>
          <w:szCs w:val="20"/>
          <w:lang w:val="en-AU"/>
        </w:rPr>
        <w:t>(</w:t>
      </w:r>
      <w:r w:rsidR="0011089F" w:rsidRPr="0011089F">
        <w:rPr>
          <w:rFonts w:ascii="Calibri" w:hAnsi="Calibri" w:cs="Calibri"/>
          <w:sz w:val="20"/>
          <w:szCs w:val="20"/>
          <w:lang w:val="en-AU"/>
        </w:rPr>
        <w:t xml:space="preserve">median age 84 years </w:t>
      </w:r>
      <w:r w:rsidR="000A3C51">
        <w:rPr>
          <w:rFonts w:ascii="Calibri" w:hAnsi="Calibri" w:cs="Calibri"/>
          <w:sz w:val="20"/>
          <w:szCs w:val="20"/>
          <w:lang w:val="en-AU"/>
        </w:rPr>
        <w:t>[</w:t>
      </w:r>
      <w:r w:rsidR="0011089F" w:rsidRPr="0011089F">
        <w:rPr>
          <w:rFonts w:ascii="Calibri" w:hAnsi="Calibri" w:cs="Calibri"/>
          <w:sz w:val="20"/>
          <w:szCs w:val="20"/>
          <w:lang w:val="en-AU"/>
        </w:rPr>
        <w:t>IQR: 79</w:t>
      </w:r>
      <w:r w:rsidR="0011089F">
        <w:rPr>
          <w:rFonts w:ascii="Calibri" w:hAnsi="Calibri" w:cs="Calibri"/>
          <w:sz w:val="20"/>
          <w:szCs w:val="20"/>
          <w:lang w:val="en-AU"/>
        </w:rPr>
        <w:t>-</w:t>
      </w:r>
      <w:r w:rsidR="0011089F" w:rsidRPr="0011089F">
        <w:rPr>
          <w:rFonts w:ascii="Calibri" w:hAnsi="Calibri" w:cs="Calibri"/>
          <w:sz w:val="20"/>
          <w:szCs w:val="20"/>
          <w:lang w:val="en-AU"/>
        </w:rPr>
        <w:t>89</w:t>
      </w:r>
      <w:r w:rsidR="000A3C51">
        <w:rPr>
          <w:rFonts w:ascii="Calibri" w:hAnsi="Calibri" w:cs="Calibri"/>
          <w:sz w:val="20"/>
          <w:szCs w:val="20"/>
          <w:lang w:val="en-AU"/>
        </w:rPr>
        <w:t>]</w:t>
      </w:r>
      <w:r w:rsidR="004775B6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E70989">
        <w:rPr>
          <w:rFonts w:ascii="Calibri" w:hAnsi="Calibri" w:cs="Calibri"/>
          <w:sz w:val="20"/>
          <w:szCs w:val="20"/>
          <w:lang w:val="en-AU"/>
        </w:rPr>
        <w:t>55</w:t>
      </w:r>
      <w:r w:rsidR="004775B6">
        <w:rPr>
          <w:rFonts w:ascii="Calibri" w:hAnsi="Calibri" w:cs="Calibri"/>
          <w:sz w:val="20"/>
          <w:szCs w:val="20"/>
          <w:lang w:val="en-AU"/>
        </w:rPr>
        <w:t>% female</w:t>
      </w:r>
      <w:r w:rsidR="000A3C51">
        <w:rPr>
          <w:rFonts w:ascii="Calibri" w:hAnsi="Calibri" w:cs="Calibri"/>
          <w:sz w:val="20"/>
          <w:szCs w:val="20"/>
          <w:lang w:val="en-AU"/>
        </w:rPr>
        <w:t>)</w:t>
      </w:r>
      <w:r w:rsidR="0011089F" w:rsidRPr="0011089F">
        <w:rPr>
          <w:rFonts w:ascii="Calibri" w:hAnsi="Calibri" w:cs="Calibri"/>
          <w:sz w:val="20"/>
          <w:szCs w:val="20"/>
          <w:lang w:val="en-AU"/>
        </w:rPr>
        <w:t xml:space="preserve">. Of these, 6,913 (76.3%) were exposed to </w:t>
      </w:r>
      <w:r w:rsidR="0034784D">
        <w:rPr>
          <w:rFonts w:ascii="Calibri" w:hAnsi="Calibri" w:cs="Calibri"/>
          <w:sz w:val="20"/>
          <w:szCs w:val="20"/>
          <w:lang w:val="en-AU"/>
        </w:rPr>
        <w:t>≥1</w:t>
      </w:r>
      <w:r w:rsidR="0011089F" w:rsidRPr="0011089F">
        <w:rPr>
          <w:rFonts w:ascii="Calibri" w:hAnsi="Calibri" w:cs="Calibri"/>
          <w:sz w:val="20"/>
          <w:szCs w:val="20"/>
          <w:lang w:val="en-AU"/>
        </w:rPr>
        <w:t xml:space="preserve"> DDI. </w:t>
      </w:r>
      <w:r w:rsidR="004775B6">
        <w:rPr>
          <w:rFonts w:ascii="Calibri" w:hAnsi="Calibri" w:cs="Calibri"/>
          <w:sz w:val="20"/>
          <w:szCs w:val="20"/>
          <w:lang w:val="en-AU"/>
        </w:rPr>
        <w:t>E</w:t>
      </w:r>
      <w:r w:rsidR="0011089F" w:rsidRPr="0011089F">
        <w:rPr>
          <w:rFonts w:ascii="Calibri" w:hAnsi="Calibri" w:cs="Calibri"/>
          <w:sz w:val="20"/>
          <w:szCs w:val="20"/>
          <w:lang w:val="en-AU"/>
        </w:rPr>
        <w:t xml:space="preserve">xposure to </w:t>
      </w:r>
      <w:r w:rsidR="00B95056">
        <w:rPr>
          <w:rFonts w:ascii="Calibri" w:hAnsi="Calibri" w:cs="Calibri"/>
          <w:sz w:val="20"/>
          <w:szCs w:val="20"/>
          <w:lang w:val="en-AU"/>
        </w:rPr>
        <w:t>≥1</w:t>
      </w:r>
      <w:r w:rsidR="0011089F" w:rsidRPr="0011089F">
        <w:rPr>
          <w:rFonts w:ascii="Calibri" w:hAnsi="Calibri" w:cs="Calibri"/>
          <w:sz w:val="20"/>
          <w:szCs w:val="20"/>
          <w:lang w:val="en-AU"/>
        </w:rPr>
        <w:t xml:space="preserve"> DDI was associated with a 43% increase in mortality risk (</w:t>
      </w:r>
      <w:proofErr w:type="spellStart"/>
      <w:r w:rsidR="0011089F" w:rsidRPr="0011089F">
        <w:rPr>
          <w:rFonts w:ascii="Calibri" w:hAnsi="Calibri" w:cs="Calibri"/>
          <w:sz w:val="20"/>
          <w:szCs w:val="20"/>
          <w:lang w:val="en-AU"/>
        </w:rPr>
        <w:t>aRR</w:t>
      </w:r>
      <w:proofErr w:type="spellEnd"/>
      <w:r w:rsidR="0011089F" w:rsidRPr="0011089F">
        <w:rPr>
          <w:rFonts w:ascii="Calibri" w:hAnsi="Calibri" w:cs="Calibri"/>
          <w:sz w:val="20"/>
          <w:szCs w:val="20"/>
          <w:lang w:val="en-AU"/>
        </w:rPr>
        <w:t>: 1.43; 95% CI: 1.22–1.69)</w:t>
      </w:r>
      <w:r w:rsidR="00B95056">
        <w:rPr>
          <w:rFonts w:ascii="Calibri" w:hAnsi="Calibri" w:cs="Calibri"/>
          <w:sz w:val="20"/>
          <w:szCs w:val="20"/>
          <w:lang w:val="en-AU"/>
        </w:rPr>
        <w:t xml:space="preserve"> with</w:t>
      </w:r>
      <w:r w:rsidR="0011089F" w:rsidRPr="0011089F">
        <w:rPr>
          <w:rFonts w:ascii="Calibri" w:hAnsi="Calibri" w:cs="Calibri"/>
          <w:sz w:val="20"/>
          <w:szCs w:val="20"/>
          <w:lang w:val="en-AU"/>
        </w:rPr>
        <w:t xml:space="preserve"> exposure to </w:t>
      </w:r>
      <w:r w:rsidR="00B95056">
        <w:rPr>
          <w:rFonts w:ascii="Calibri" w:hAnsi="Calibri" w:cs="Calibri"/>
          <w:sz w:val="20"/>
          <w:szCs w:val="20"/>
          <w:lang w:val="en-AU"/>
        </w:rPr>
        <w:t>≥2</w:t>
      </w:r>
      <w:r w:rsidR="0011089F" w:rsidRPr="0011089F">
        <w:rPr>
          <w:rFonts w:ascii="Calibri" w:hAnsi="Calibri" w:cs="Calibri"/>
          <w:sz w:val="20"/>
          <w:szCs w:val="20"/>
          <w:lang w:val="en-AU"/>
        </w:rPr>
        <w:t xml:space="preserve"> DDIs </w:t>
      </w:r>
      <w:r w:rsidR="00440AE9">
        <w:rPr>
          <w:rFonts w:ascii="Calibri" w:hAnsi="Calibri" w:cs="Calibri"/>
          <w:sz w:val="20"/>
          <w:szCs w:val="20"/>
          <w:lang w:val="en-AU"/>
        </w:rPr>
        <w:t>being</w:t>
      </w:r>
      <w:r w:rsidR="0011089F" w:rsidRPr="0011089F">
        <w:rPr>
          <w:rFonts w:ascii="Calibri" w:hAnsi="Calibri" w:cs="Calibri"/>
          <w:sz w:val="20"/>
          <w:szCs w:val="20"/>
          <w:lang w:val="en-AU"/>
        </w:rPr>
        <w:t xml:space="preserve"> associated with an 80% increased risk (</w:t>
      </w:r>
      <w:proofErr w:type="spellStart"/>
      <w:r w:rsidR="0011089F" w:rsidRPr="0011089F">
        <w:rPr>
          <w:rFonts w:ascii="Calibri" w:hAnsi="Calibri" w:cs="Calibri"/>
          <w:sz w:val="20"/>
          <w:szCs w:val="20"/>
          <w:lang w:val="en-AU"/>
        </w:rPr>
        <w:t>aRR</w:t>
      </w:r>
      <w:proofErr w:type="spellEnd"/>
      <w:r w:rsidR="0011089F" w:rsidRPr="0011089F">
        <w:rPr>
          <w:rFonts w:ascii="Calibri" w:hAnsi="Calibri" w:cs="Calibri"/>
          <w:sz w:val="20"/>
          <w:szCs w:val="20"/>
          <w:lang w:val="en-AU"/>
        </w:rPr>
        <w:t>: 1.80; 95% CI: 1.50–2.17).</w:t>
      </w:r>
      <w:r w:rsidR="0011089F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9403A">
        <w:rPr>
          <w:rFonts w:ascii="Calibri" w:hAnsi="Calibri" w:cs="Calibri"/>
          <w:sz w:val="20"/>
          <w:szCs w:val="20"/>
          <w:lang w:val="en-AU"/>
        </w:rPr>
        <w:t>Regarding</w:t>
      </w:r>
      <w:r w:rsidR="0011089F" w:rsidRPr="0011089F">
        <w:rPr>
          <w:rFonts w:ascii="Calibri" w:hAnsi="Calibri" w:cs="Calibri"/>
          <w:sz w:val="20"/>
          <w:szCs w:val="20"/>
          <w:lang w:val="en-AU"/>
        </w:rPr>
        <w:t xml:space="preserve"> DDI severity, DDIs rated as “major” were associated with a 25% increase in mortality risk (</w:t>
      </w:r>
      <w:proofErr w:type="spellStart"/>
      <w:r w:rsidR="0011089F" w:rsidRPr="0011089F">
        <w:rPr>
          <w:rFonts w:ascii="Calibri" w:hAnsi="Calibri" w:cs="Calibri"/>
          <w:sz w:val="20"/>
          <w:szCs w:val="20"/>
          <w:lang w:val="en-AU"/>
        </w:rPr>
        <w:t>aRR</w:t>
      </w:r>
      <w:proofErr w:type="spellEnd"/>
      <w:r w:rsidR="0011089F" w:rsidRPr="0011089F">
        <w:rPr>
          <w:rFonts w:ascii="Calibri" w:hAnsi="Calibri" w:cs="Calibri"/>
          <w:sz w:val="20"/>
          <w:szCs w:val="20"/>
          <w:lang w:val="en-AU"/>
        </w:rPr>
        <w:t xml:space="preserve">: 1.25; 95% CI: 1.03–1.53), while “contraindicated” DDIs were associated with </w:t>
      </w:r>
      <w:r w:rsidR="00422EA3">
        <w:rPr>
          <w:rFonts w:ascii="Calibri" w:hAnsi="Calibri" w:cs="Calibri"/>
          <w:sz w:val="20"/>
          <w:szCs w:val="20"/>
          <w:lang w:val="en-AU"/>
        </w:rPr>
        <w:t xml:space="preserve">a </w:t>
      </w:r>
      <w:r w:rsidR="0011089F" w:rsidRPr="0011089F">
        <w:rPr>
          <w:rFonts w:ascii="Calibri" w:hAnsi="Calibri" w:cs="Calibri"/>
          <w:sz w:val="20"/>
          <w:szCs w:val="20"/>
          <w:lang w:val="en-AU"/>
        </w:rPr>
        <w:t>nearly fourfold higher risk compared with no or moderate-severity DDIs (</w:t>
      </w:r>
      <w:proofErr w:type="spellStart"/>
      <w:r w:rsidR="0011089F" w:rsidRPr="0011089F">
        <w:rPr>
          <w:rFonts w:ascii="Calibri" w:hAnsi="Calibri" w:cs="Calibri"/>
          <w:sz w:val="20"/>
          <w:szCs w:val="20"/>
          <w:lang w:val="en-AU"/>
        </w:rPr>
        <w:t>aRR</w:t>
      </w:r>
      <w:proofErr w:type="spellEnd"/>
      <w:r w:rsidR="0011089F" w:rsidRPr="0011089F">
        <w:rPr>
          <w:rFonts w:ascii="Calibri" w:hAnsi="Calibri" w:cs="Calibri"/>
          <w:sz w:val="20"/>
          <w:szCs w:val="20"/>
          <w:lang w:val="en-AU"/>
        </w:rPr>
        <w:t>: 3.99; 95% CI: 3.24–4.92). Exposure to pharmacodynamic (PD) DDIs was associated with a 72% increased mortality risk (</w:t>
      </w:r>
      <w:proofErr w:type="spellStart"/>
      <w:r w:rsidR="0011089F" w:rsidRPr="0011089F">
        <w:rPr>
          <w:rFonts w:ascii="Calibri" w:hAnsi="Calibri" w:cs="Calibri"/>
          <w:sz w:val="20"/>
          <w:szCs w:val="20"/>
          <w:lang w:val="en-AU"/>
        </w:rPr>
        <w:t>aRR</w:t>
      </w:r>
      <w:proofErr w:type="spellEnd"/>
      <w:r w:rsidR="0011089F" w:rsidRPr="0011089F">
        <w:rPr>
          <w:rFonts w:ascii="Calibri" w:hAnsi="Calibri" w:cs="Calibri"/>
          <w:sz w:val="20"/>
          <w:szCs w:val="20"/>
          <w:lang w:val="en-AU"/>
        </w:rPr>
        <w:t>: 1.72; 95% CI: 1.42–2.08), whereas pharmacokinetic (PK) DDIs (PK only or combined PK</w:t>
      </w:r>
      <w:r w:rsidR="0011089F">
        <w:rPr>
          <w:rFonts w:ascii="Calibri" w:hAnsi="Calibri" w:cs="Calibri"/>
          <w:sz w:val="20"/>
          <w:szCs w:val="20"/>
          <w:lang w:val="en-AU"/>
        </w:rPr>
        <w:t>-</w:t>
      </w:r>
      <w:r w:rsidR="0011089F" w:rsidRPr="0011089F">
        <w:rPr>
          <w:rFonts w:ascii="Calibri" w:hAnsi="Calibri" w:cs="Calibri"/>
          <w:sz w:val="20"/>
          <w:szCs w:val="20"/>
          <w:lang w:val="en-AU"/>
        </w:rPr>
        <w:t>PD) were not associated with changes in mortality risk.</w:t>
      </w:r>
      <w:r w:rsidR="00412A01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3E59AA15" w14:textId="00FCF89B" w:rsidR="00EF12F3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C36E3" w:rsidRPr="009C36E3">
        <w:rPr>
          <w:rFonts w:ascii="Calibri" w:hAnsi="Calibri" w:cs="Calibri"/>
          <w:sz w:val="20"/>
          <w:szCs w:val="20"/>
          <w:lang w:val="en-AU"/>
        </w:rPr>
        <w:t xml:space="preserve">Antipsychotic-related DDIs are highly prevalent among older </w:t>
      </w:r>
      <w:r w:rsidR="00617D55">
        <w:rPr>
          <w:rFonts w:ascii="Calibri" w:hAnsi="Calibri" w:cs="Calibri"/>
          <w:sz w:val="20"/>
          <w:szCs w:val="20"/>
          <w:lang w:val="en-AU"/>
        </w:rPr>
        <w:t>adults</w:t>
      </w:r>
      <w:r w:rsidR="009C36E3" w:rsidRPr="009C36E3">
        <w:rPr>
          <w:rFonts w:ascii="Calibri" w:hAnsi="Calibri" w:cs="Calibri"/>
          <w:sz w:val="20"/>
          <w:szCs w:val="20"/>
          <w:lang w:val="en-AU"/>
        </w:rPr>
        <w:t xml:space="preserve"> with dementia and associated with a</w:t>
      </w:r>
      <w:r w:rsidR="00CF732B">
        <w:rPr>
          <w:rFonts w:ascii="Calibri" w:hAnsi="Calibri" w:cs="Calibri"/>
          <w:sz w:val="20"/>
          <w:szCs w:val="20"/>
          <w:lang w:val="en-AU"/>
        </w:rPr>
        <w:t>n</w:t>
      </w:r>
      <w:r w:rsidR="009C36E3" w:rsidRPr="009C36E3">
        <w:rPr>
          <w:rFonts w:ascii="Calibri" w:hAnsi="Calibri" w:cs="Calibri"/>
          <w:sz w:val="20"/>
          <w:szCs w:val="20"/>
          <w:lang w:val="en-AU"/>
        </w:rPr>
        <w:t xml:space="preserve"> increased risk of short-term all-cause mortality. </w:t>
      </w:r>
      <w:r w:rsidR="00B20D2C" w:rsidRPr="00B20D2C">
        <w:rPr>
          <w:rFonts w:ascii="Calibri" w:hAnsi="Calibri" w:cs="Calibri"/>
          <w:sz w:val="20"/>
          <w:szCs w:val="20"/>
          <w:lang w:val="en-AU"/>
        </w:rPr>
        <w:t>These findings highlight the need for medication review and monitoring when initiating antipsychotics in this vulnerable population.</w:t>
      </w:r>
    </w:p>
    <w:sectPr w:rsidR="00EF12F3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A3C51"/>
    <w:rsid w:val="000A4FA6"/>
    <w:rsid w:val="0011089F"/>
    <w:rsid w:val="00214ED9"/>
    <w:rsid w:val="002226BB"/>
    <w:rsid w:val="002272B0"/>
    <w:rsid w:val="002A1F09"/>
    <w:rsid w:val="00300B92"/>
    <w:rsid w:val="003238D9"/>
    <w:rsid w:val="0034784D"/>
    <w:rsid w:val="00387491"/>
    <w:rsid w:val="004067FC"/>
    <w:rsid w:val="00412A01"/>
    <w:rsid w:val="00422EA3"/>
    <w:rsid w:val="00440AE9"/>
    <w:rsid w:val="00444224"/>
    <w:rsid w:val="004775B6"/>
    <w:rsid w:val="00481B0E"/>
    <w:rsid w:val="00483B05"/>
    <w:rsid w:val="00483C10"/>
    <w:rsid w:val="00484B32"/>
    <w:rsid w:val="004E28B9"/>
    <w:rsid w:val="004E50FC"/>
    <w:rsid w:val="004E5450"/>
    <w:rsid w:val="004F5E1E"/>
    <w:rsid w:val="005249A3"/>
    <w:rsid w:val="005441D4"/>
    <w:rsid w:val="00552059"/>
    <w:rsid w:val="0059609A"/>
    <w:rsid w:val="00597659"/>
    <w:rsid w:val="005C1B4F"/>
    <w:rsid w:val="005D1700"/>
    <w:rsid w:val="005E48A2"/>
    <w:rsid w:val="005E62BE"/>
    <w:rsid w:val="00617D55"/>
    <w:rsid w:val="006E0E22"/>
    <w:rsid w:val="006E3BAD"/>
    <w:rsid w:val="006E4461"/>
    <w:rsid w:val="00711813"/>
    <w:rsid w:val="00724E3C"/>
    <w:rsid w:val="00743C46"/>
    <w:rsid w:val="007447A6"/>
    <w:rsid w:val="00760B17"/>
    <w:rsid w:val="008417AA"/>
    <w:rsid w:val="00871A07"/>
    <w:rsid w:val="00881F2C"/>
    <w:rsid w:val="00885303"/>
    <w:rsid w:val="008909C9"/>
    <w:rsid w:val="008975D0"/>
    <w:rsid w:val="008F4C9E"/>
    <w:rsid w:val="00947B77"/>
    <w:rsid w:val="009C36E3"/>
    <w:rsid w:val="009E2228"/>
    <w:rsid w:val="009F06D6"/>
    <w:rsid w:val="009F0ED1"/>
    <w:rsid w:val="00A266B4"/>
    <w:rsid w:val="00A44D9B"/>
    <w:rsid w:val="00A71DEF"/>
    <w:rsid w:val="00AD235B"/>
    <w:rsid w:val="00AE2DA6"/>
    <w:rsid w:val="00AF6AE9"/>
    <w:rsid w:val="00B20D2C"/>
    <w:rsid w:val="00B92B71"/>
    <w:rsid w:val="00B9403A"/>
    <w:rsid w:val="00B95056"/>
    <w:rsid w:val="00BC5FCC"/>
    <w:rsid w:val="00C132EC"/>
    <w:rsid w:val="00C60A71"/>
    <w:rsid w:val="00C84953"/>
    <w:rsid w:val="00CD61FD"/>
    <w:rsid w:val="00CF732B"/>
    <w:rsid w:val="00D34C62"/>
    <w:rsid w:val="00D55F3B"/>
    <w:rsid w:val="00D85D36"/>
    <w:rsid w:val="00DA2731"/>
    <w:rsid w:val="00E376E1"/>
    <w:rsid w:val="00E70989"/>
    <w:rsid w:val="00EF12F3"/>
    <w:rsid w:val="00F02477"/>
    <w:rsid w:val="00F728E1"/>
    <w:rsid w:val="00F90F73"/>
    <w:rsid w:val="00F97620"/>
    <w:rsid w:val="00FA6662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846568"/>
  <w15:chartTrackingRefBased/>
  <w15:docId w15:val="{DF279B57-849E-4B3A-9292-9F4E9F52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76E1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14E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4E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4ED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4E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4ED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F669FD-9580-4E76-9941-202D6F95CE5F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3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B4E41E-3A7A-4096-8308-AA835A6F6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2750</CharactersWithSpaces>
  <SharedDoc>false</SharedDoc>
  <HLinks>
    <vt:vector size="6" baseType="variant"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mailto:wcp2026@expertevents.com.au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Edward Lau</cp:lastModifiedBy>
  <cp:revision>3</cp:revision>
  <cp:lastPrinted>2013-06-13T05:15:00Z</cp:lastPrinted>
  <dcterms:created xsi:type="dcterms:W3CDTF">2026-02-09T06:16:00Z</dcterms:created>
  <dcterms:modified xsi:type="dcterms:W3CDTF">2026-02-11T23:11:00Z</dcterms:modified>
</cp:coreProperties>
</file>