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4501" w14:textId="2966EA6D" w:rsidR="00601754" w:rsidRPr="004405F7" w:rsidRDefault="00601754" w:rsidP="004405F7">
      <w:pPr>
        <w:spacing w:after="0" w:line="240" w:lineRule="auto"/>
        <w:jc w:val="both"/>
        <w:rPr>
          <w:rFonts w:ascii="Arial" w:eastAsia="Calibri" w:hAnsi="Arial" w:cs="Arial"/>
          <w:b/>
          <w:bCs/>
          <w:color w:val="4472C4"/>
          <w:kern w:val="0"/>
          <w:sz w:val="20"/>
          <w:szCs w:val="20"/>
          <w14:ligatures w14:val="none"/>
        </w:rPr>
      </w:pPr>
    </w:p>
    <w:p w14:paraId="17380278" w14:textId="77777777" w:rsidR="00601754" w:rsidRDefault="00601754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2826F1B9" w14:textId="58A63546" w:rsidR="00C315D2" w:rsidRPr="00C315D2" w:rsidRDefault="00F85D14" w:rsidP="0028490A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Fruit </w:t>
      </w:r>
      <w:r w:rsidR="0028490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B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ased </w:t>
      </w:r>
      <w:r w:rsidR="0028490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ual PI3K-mTOR Inhibitors Against Ovarian </w:t>
      </w:r>
      <w:r w:rsidR="0028490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ancer: </w:t>
      </w:r>
      <w:r w:rsidR="0028490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AI-driven B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ioinformatic </w:t>
      </w:r>
      <w:r w:rsidR="0028490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nalysis</w:t>
      </w:r>
    </w:p>
    <w:p w14:paraId="79141BD9" w14:textId="0555513F" w:rsidR="00C315D2" w:rsidRDefault="00213608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Mangala Shenoy K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Suvarna G Kini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549B4D3C" w14:textId="77777777" w:rsidR="00213608" w:rsidRPr="00C315D2" w:rsidRDefault="00213608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DD37039" w14:textId="6208DC0D" w:rsidR="00C315D2" w:rsidRDefault="00C315D2" w:rsidP="0028490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Department </w:t>
      </w:r>
      <w:r w:rsidR="002136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of </w:t>
      </w:r>
      <w:r w:rsidR="004228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Pharmaceutical</w:t>
      </w:r>
      <w:r w:rsidR="002136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Chemistry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2136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Manipal College of Pharmaceutical Sciences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4405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136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Manipal Academy of Higher Education (MAHE), Manipal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213608">
        <w:rPr>
          <w:rFonts w:ascii="Arial" w:eastAsia="Calibri" w:hAnsi="Arial" w:cs="Calibri"/>
          <w:kern w:val="0"/>
          <w:sz w:val="20"/>
          <w:szCs w:val="20"/>
          <w14:ligatures w14:val="none"/>
        </w:rPr>
        <w:t>Karnataka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2136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India.</w:t>
      </w:r>
    </w:p>
    <w:p w14:paraId="44289B18" w14:textId="77777777" w:rsidR="00213608" w:rsidRPr="00C315D2" w:rsidRDefault="00213608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385039D" w14:textId="6B67E1DE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E08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Ovarian cancer is one of the most </w:t>
      </w:r>
      <w:r w:rsidR="0003276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commonly affecting </w:t>
      </w:r>
      <w:r w:rsidR="004228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gynaecological</w:t>
      </w:r>
      <w:r w:rsidR="0003276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cancers.</w:t>
      </w:r>
      <w:r w:rsidR="00E638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228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Even though</w:t>
      </w:r>
      <w:r w:rsidR="006D68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there are</w:t>
      </w:r>
      <w:r w:rsidR="003D01E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chemical </w:t>
      </w:r>
      <w:r w:rsidR="006D68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drugs and their derivatives for the treatment</w:t>
      </w:r>
      <w:r w:rsidR="00E638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ovarian cancer, due to their side effects there is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still</w:t>
      </w:r>
      <w:r w:rsidR="00E638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way for new drugs to combat the disease. This study aims at developing an e-pharmacophore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hypothesis for virtual screening of natural product database and to obtain best hits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from natural origin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against ovarian cancer. 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387B9C3" w14:textId="26F7AF80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="002136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this project, we have developed a</w:t>
      </w:r>
      <w:r w:rsidR="007869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e-pharmacophore model for pharmacophore based virtual </w:t>
      </w:r>
      <w:r w:rsidR="007869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screening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different natural product databases</w:t>
      </w:r>
      <w:r w:rsidR="00CD7E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using Schrodinger maestro 2025-1 </w:t>
      </w:r>
      <w:r w:rsidR="00BE25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version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We have retrieved herbal ingredient targets and watermelon database, which was screened against the buil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pharmacophore model and top ten hits from each were selected for docking</w:t>
      </w:r>
      <w:r w:rsidR="004405F7" w:rsidRPr="004405F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Selected hit compounds were docked </w:t>
      </w:r>
      <w:r w:rsidR="004228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against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two proteins 5DXT and 5GPG for PI3K and mTOR respectively. The 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two hit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compounds from each </w:t>
      </w:r>
      <w:r w:rsidR="004228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library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1003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were</w:t>
      </w:r>
      <w:r w:rsidR="00563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further </w:t>
      </w:r>
      <w:r w:rsidR="0021003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taken for 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molecular </w:t>
      </w:r>
      <w:r w:rsidR="0021003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dynamic simulation studies 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followed by ADME </w:t>
      </w:r>
      <w:r w:rsidR="0021003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MMGBSA analysis</w:t>
      </w:r>
      <w:r w:rsidR="004405F7" w:rsidRPr="004405F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2,3</w:t>
      </w:r>
      <w:r w:rsidR="0021003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37210D71" w14:textId="77777777" w:rsidR="00563E5D" w:rsidRPr="00C315D2" w:rsidRDefault="00563E5D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777A9E0F" w14:textId="2B45502C" w:rsidR="2021B9E9" w:rsidRPr="00006AD0" w:rsidRDefault="00795378" w:rsidP="2021B9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006AD0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006AD0">
        <w:rPr>
          <w:rFonts w:ascii="Calibri" w:eastAsia="Calibri" w:hAnsi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786945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A five-point e-pharmacophore was built using multi-ligand module in Schrodinger software</w:t>
      </w:r>
      <w:r w:rsidR="004C0ACF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as shown in Figure 1</w:t>
      </w:r>
      <w:r w:rsidR="00786945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 Selected 2 hits revealed good binding affinity in pocket</w:t>
      </w:r>
      <w:r w:rsidR="00CD7E8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s</w:t>
      </w:r>
      <w:r w:rsidR="00786945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of both 5DXT and 5GPG</w:t>
      </w:r>
      <w:r w:rsidR="00CD7E8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which showed crucial interactions such as VAL851</w:t>
      </w:r>
      <w:r w:rsidR="00786945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. Interestingly, these compounds were found to be Chrysoeriol glucuronide and Quercetagetin present in </w:t>
      </w:r>
      <w:r w:rsidR="00786945" w:rsidRPr="00CD7E88">
        <w:rPr>
          <w:rFonts w:ascii="Arial" w:eastAsia="Calibri" w:hAnsi="Arial" w:cs="Arial"/>
          <w:i/>
          <w:iCs/>
          <w:kern w:val="0"/>
          <w:sz w:val="20"/>
          <w:szCs w:val="20"/>
          <w:lang w:val="en-GB"/>
          <w14:ligatures w14:val="none"/>
        </w:rPr>
        <w:t>Citrullus lanatus</w:t>
      </w:r>
      <w:r w:rsidR="00BE2578">
        <w:rPr>
          <w:rFonts w:ascii="Arial" w:eastAsia="Calibri" w:hAnsi="Arial" w:cs="Arial"/>
          <w:i/>
          <w:iCs/>
          <w:kern w:val="0"/>
          <w:sz w:val="20"/>
          <w:szCs w:val="20"/>
          <w:lang w:val="en-GB"/>
          <w14:ligatures w14:val="none"/>
        </w:rPr>
        <w:t xml:space="preserve"> </w:t>
      </w:r>
      <w:r w:rsidR="00BE257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(watermelon)</w:t>
      </w:r>
      <w:r w:rsidR="00786945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and </w:t>
      </w:r>
      <w:r w:rsidR="00786945" w:rsidRPr="00CD7E88">
        <w:rPr>
          <w:rFonts w:ascii="Arial" w:eastAsia="Calibri" w:hAnsi="Arial" w:cs="Arial"/>
          <w:i/>
          <w:iCs/>
          <w:kern w:val="0"/>
          <w:sz w:val="20"/>
          <w:szCs w:val="20"/>
          <w:lang w:val="en-GB"/>
          <w14:ligatures w14:val="none"/>
        </w:rPr>
        <w:t>Citrus reticulata</w:t>
      </w:r>
      <w:r w:rsidR="00786945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BE257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(ma</w:t>
      </w:r>
      <w:r w:rsidR="003D01E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n</w:t>
      </w:r>
      <w:r w:rsidR="00BE257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darin orange) </w:t>
      </w:r>
      <w:r w:rsidR="00786945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respectively. </w:t>
      </w:r>
      <w:r w:rsidR="00006AD0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Docking scores of both the hit compou</w:t>
      </w:r>
      <w:r w:rsidR="0042284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n</w:t>
      </w:r>
      <w:r w:rsidR="00006AD0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ds are depicted in table 1.</w:t>
      </w:r>
      <w:r w:rsidR="00CD7E8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Simulation studies </w:t>
      </w:r>
      <w:r w:rsidR="004405F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of </w:t>
      </w:r>
      <w:r w:rsidR="004405F7" w:rsidRPr="00006AD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these</w:t>
      </w:r>
      <w:r w:rsidR="00CD7E8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compounds showed stable RMSD plots. </w:t>
      </w:r>
    </w:p>
    <w:p w14:paraId="67B96B08" w14:textId="75ADD2A2" w:rsidR="00422844" w:rsidRDefault="004405F7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noProof/>
          <w:kern w:val="0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9A00E19" wp14:editId="08EECF0B">
            <wp:simplePos x="0" y="0"/>
            <wp:positionH relativeFrom="column">
              <wp:posOffset>211531</wp:posOffset>
            </wp:positionH>
            <wp:positionV relativeFrom="paragraph">
              <wp:posOffset>8957</wp:posOffset>
            </wp:positionV>
            <wp:extent cx="1555750" cy="1205230"/>
            <wp:effectExtent l="0" t="0" r="6350" b="0"/>
            <wp:wrapSquare wrapText="bothSides"/>
            <wp:docPr id="1674440121" name="Picture 1" descr="A diagram of a molec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40121" name="Picture 1" descr="A diagram of a molecule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6" t="17021" r="13943" b="24339"/>
                    <a:stretch/>
                  </pic:blipFill>
                  <pic:spPr bwMode="auto">
                    <a:xfrm>
                      <a:off x="0" y="0"/>
                      <a:ext cx="1555750" cy="120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418"/>
        <w:gridCol w:w="1344"/>
      </w:tblGrid>
      <w:tr w:rsidR="00422844" w:rsidRPr="00C315D2" w14:paraId="1E5759EF" w14:textId="77777777" w:rsidTr="00422844">
        <w:trPr>
          <w:trHeight w:val="310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F0B43" w14:textId="77777777" w:rsidR="00422844" w:rsidRPr="00C315D2" w:rsidRDefault="00422844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Hit compounds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FC92D" w14:textId="5E290665" w:rsidR="00422844" w:rsidRPr="00C315D2" w:rsidRDefault="00422844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5DXT</w:t>
            </w:r>
            <w:r w:rsidR="0028490A"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(Kcal/mol)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E0C0D4" w14:textId="77777777" w:rsidR="00422844" w:rsidRDefault="00422844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GB"/>
                <w14:ligatures w14:val="none"/>
              </w:rPr>
              <w:t>5GPG</w:t>
            </w:r>
          </w:p>
          <w:p w14:paraId="2CD5BA43" w14:textId="2A45E1BE" w:rsidR="0028490A" w:rsidRPr="00C315D2" w:rsidRDefault="0028490A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GB"/>
                <w14:ligatures w14:val="none"/>
              </w:rPr>
              <w:t>(Kcal/mol)</w:t>
            </w:r>
          </w:p>
        </w:tc>
      </w:tr>
      <w:tr w:rsidR="00422844" w:rsidRPr="00C315D2" w14:paraId="002B2225" w14:textId="77777777" w:rsidTr="00422844">
        <w:trPr>
          <w:trHeight w:val="341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21E524" w14:textId="77777777" w:rsidR="00422844" w:rsidRPr="00CD7E88" w:rsidRDefault="00422844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D7E88"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  <w:t>Chrysoeriol glucuronide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05C35" w14:textId="77777777" w:rsidR="00422844" w:rsidRPr="00CD7E88" w:rsidRDefault="00422844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D7E88"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  <w:t>-16.407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BE5E0D" w14:textId="77777777" w:rsidR="00422844" w:rsidRPr="00CD7E88" w:rsidRDefault="00422844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D7E88"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  <w:t>-8.905</w:t>
            </w:r>
          </w:p>
        </w:tc>
      </w:tr>
      <w:tr w:rsidR="00422844" w:rsidRPr="00C315D2" w14:paraId="1EB24D33" w14:textId="77777777" w:rsidTr="00422844">
        <w:trPr>
          <w:trHeight w:val="341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C99E04" w14:textId="77777777" w:rsidR="00422844" w:rsidRPr="00CD7E88" w:rsidRDefault="00422844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D7E88"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  <w:t>Quercetagetin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FB83F" w14:textId="77777777" w:rsidR="00422844" w:rsidRPr="00CD7E88" w:rsidRDefault="00422844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D7E88"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  <w:t>-14.590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0C4B52" w14:textId="77777777" w:rsidR="00422844" w:rsidRPr="00CD7E88" w:rsidRDefault="00422844" w:rsidP="00422844">
            <w:pPr>
              <w:spacing w:after="0" w:line="240" w:lineRule="auto"/>
              <w:jc w:val="both"/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D7E88">
              <w:rPr>
                <w:rFonts w:ascii="Arial" w:eastAsia="Calibri" w:hAnsi="Arial" w:cs="Calibri"/>
                <w:bCs/>
                <w:kern w:val="0"/>
                <w:sz w:val="20"/>
                <w:szCs w:val="20"/>
                <w:lang w:val="en-GB"/>
                <w14:ligatures w14:val="none"/>
              </w:rPr>
              <w:t>-9.842</w:t>
            </w:r>
          </w:p>
        </w:tc>
      </w:tr>
    </w:tbl>
    <w:p w14:paraId="33097D3C" w14:textId="23C27276" w:rsidR="00422844" w:rsidRPr="00422844" w:rsidRDefault="00422844" w:rsidP="00422844">
      <w:pPr>
        <w:rPr>
          <w:rFonts w:ascii="Arial" w:eastAsia="Calibri" w:hAnsi="Arial" w:cs="Calibri"/>
          <w:sz w:val="20"/>
          <w:szCs w:val="20"/>
        </w:rPr>
      </w:pPr>
    </w:p>
    <w:p w14:paraId="056A2E06" w14:textId="77777777" w:rsidR="00422844" w:rsidRPr="00422844" w:rsidRDefault="00422844" w:rsidP="00422844">
      <w:pPr>
        <w:rPr>
          <w:rFonts w:ascii="Arial" w:eastAsia="Calibri" w:hAnsi="Arial" w:cs="Calibri"/>
          <w:sz w:val="20"/>
          <w:szCs w:val="20"/>
        </w:rPr>
      </w:pPr>
    </w:p>
    <w:p w14:paraId="67942F0F" w14:textId="77777777" w:rsidR="00422844" w:rsidRPr="00422844" w:rsidRDefault="00422844" w:rsidP="00422844">
      <w:pPr>
        <w:rPr>
          <w:rFonts w:ascii="Arial" w:eastAsia="Calibri" w:hAnsi="Arial" w:cs="Calibri"/>
          <w:sz w:val="20"/>
          <w:szCs w:val="20"/>
        </w:rPr>
      </w:pPr>
    </w:p>
    <w:p w14:paraId="7A7AEBDA" w14:textId="77777777" w:rsidR="00422844" w:rsidRDefault="00422844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314B4C5" w14:textId="1633DB27" w:rsidR="00422844" w:rsidRPr="004405F7" w:rsidRDefault="00422844" w:rsidP="00C315D2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4405F7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                       </w:t>
      </w:r>
      <w:r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 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Table 1.</w:t>
      </w:r>
      <w:r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Docking score of selected hits compounds.</w:t>
      </w:r>
    </w:p>
    <w:p w14:paraId="37683296" w14:textId="6739622C" w:rsidR="00C315D2" w:rsidRPr="00422844" w:rsidRDefault="00C315D2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Figure 1.</w:t>
      </w:r>
      <w:r w:rsidR="00422844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422844" w:rsidRPr="00422844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e-pharmacophore model.</w:t>
      </w:r>
      <w:r w:rsidRPr="00422844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</w:p>
    <w:p w14:paraId="72C629B4" w14:textId="77777777" w:rsidR="00422844" w:rsidRPr="00422844" w:rsidRDefault="00422844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</w:p>
    <w:p w14:paraId="1AF10CAD" w14:textId="4A8176A4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C0A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 identified two best hits, Chrysoeriol glucuronide and Quercetagetin which have shown good interactions with 5DXT and 5GPG PDB for PI3K and mTOR respectively.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Our study concludes that</w:t>
      </w:r>
      <w:r w:rsidR="004C0A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</w:t>
      </w:r>
      <w:r w:rsidR="004C0A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hese 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fruit-based</w:t>
      </w:r>
      <w:r w:rsidR="004C0A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compounds can be</w:t>
      </w:r>
      <w:r w:rsidR="000410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come new therapeutic agents against ovarian cancer. </w:t>
      </w:r>
    </w:p>
    <w:p w14:paraId="4B1DEBDE" w14:textId="77777777" w:rsidR="004405F7" w:rsidRDefault="00C315D2" w:rsidP="004405F7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</w:p>
    <w:p w14:paraId="3F3DCB56" w14:textId="06951A7B" w:rsidR="004405F7" w:rsidRPr="004405F7" w:rsidRDefault="004405F7" w:rsidP="0028490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IN"/>
          <w14:ligatures w14:val="none"/>
        </w:rPr>
      </w:pPr>
      <w:r w:rsidRPr="004405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1. 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:lang w:val="en-IN"/>
          <w14:ligatures w14:val="none"/>
        </w:rPr>
        <w:t>Mize, B. K., Salvi, A., Ren, Y., Burdette, J. E., &amp; Fuchs, J. R. (2023). Discovery and development of botanical natural products and their analogues as therapeutics for ovarian cancer. </w:t>
      </w:r>
      <w:r w:rsidRPr="004405F7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IN"/>
          <w14:ligatures w14:val="none"/>
        </w:rPr>
        <w:t>Natural product reports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:lang w:val="en-IN"/>
          <w14:ligatures w14:val="none"/>
        </w:rPr>
        <w:t>, </w:t>
      </w:r>
      <w:r w:rsidRPr="004405F7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IN"/>
          <w14:ligatures w14:val="none"/>
        </w:rPr>
        <w:t>40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:lang w:val="en-IN"/>
          <w14:ligatures w14:val="none"/>
        </w:rPr>
        <w:t xml:space="preserve">(7), 1250–1270. </w:t>
      </w:r>
      <w:hyperlink r:id="rId11" w:history="1">
        <w:r w:rsidRPr="008B6F97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:lang w:val="en-IN"/>
            <w14:ligatures w14:val="none"/>
          </w:rPr>
          <w:t>https://doi.org/10.1039/d2np00091a</w:t>
        </w:r>
      </w:hyperlink>
      <w:r>
        <w:rPr>
          <w:rFonts w:ascii="Arial" w:eastAsia="Calibri" w:hAnsi="Arial" w:cs="Calibri"/>
          <w:bCs/>
          <w:kern w:val="0"/>
          <w:sz w:val="20"/>
          <w:szCs w:val="20"/>
          <w:lang w:val="en-IN"/>
          <w14:ligatures w14:val="none"/>
        </w:rPr>
        <w:t xml:space="preserve"> </w:t>
      </w:r>
    </w:p>
    <w:p w14:paraId="1DD833AA" w14:textId="240AC8B1" w:rsidR="004405F7" w:rsidRDefault="004405F7" w:rsidP="0028490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2. 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Belaiba, M., Aldulaijan, S., Messaoudi, S., Abedrabba, M., Dhouib, A., &amp; Bouajila, J. (2023). Evaluation of Biological Activities of Twenty Flavones and In Silico Docking Study. </w:t>
      </w:r>
      <w:r w:rsidRPr="004405F7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Molecules (Basel, Switzerland)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 </w:t>
      </w:r>
      <w:r w:rsidRPr="004405F7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28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(6), 2419. </w:t>
      </w:r>
      <w:hyperlink r:id="rId12" w:history="1">
        <w:r w:rsidRPr="008B6F97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14:ligatures w14:val="none"/>
          </w:rPr>
          <w:t>https://doi.org/10.3390/molecules28062419</w:t>
        </w:r>
      </w:hyperlink>
    </w:p>
    <w:p w14:paraId="45A059B9" w14:textId="4217524B" w:rsidR="004405F7" w:rsidRDefault="004405F7" w:rsidP="0028490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3. 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Opo, F. A. D. M., Moulay, M., Zari, A., Alqaderi, A., Alkarim, S., Zari, T., Bhuiyan, M. A., Mahmoud, M. M., Aljoud, F., Suhail, M., Edris, S., Ramadan, W. S., Kamal, M. A., Nemmiche, S., &amp; Ahammad, F. (2022). Pharmacophore-based virtual screening approaches to identify novel molecular candidates against EGFR through comprehensive computational approaches and </w:t>
      </w:r>
      <w:r w:rsidRPr="004405F7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in-vitro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 studies. </w:t>
      </w:r>
      <w:r w:rsidRPr="004405F7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Frontiers in pharmacology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 </w:t>
      </w:r>
      <w:r w:rsidRPr="004405F7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13</w:t>
      </w:r>
      <w:r w:rsidRPr="004405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1027890. </w:t>
      </w:r>
      <w:hyperlink r:id="rId13" w:history="1">
        <w:r w:rsidRPr="008B6F97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14:ligatures w14:val="none"/>
          </w:rPr>
          <w:t>https://doi.org/10.3389/fphar.2022.1027890</w:t>
        </w:r>
      </w:hyperlink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38659D8" w14:textId="77777777" w:rsidR="00213608" w:rsidRDefault="00213608" w:rsidP="0028490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2C801966" w14:textId="1D69C231" w:rsidR="00213608" w:rsidRPr="009B1CBB" w:rsidRDefault="00C315D2" w:rsidP="0028490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213608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Acknowledgements</w:t>
      </w:r>
      <w:r w:rsidR="00213608" w:rsidRPr="00213608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:</w:t>
      </w:r>
      <w:r w:rsidR="00213608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r w:rsidR="002136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We thank Manipal College of Pharmaceutical Sciences and Manipal- Schrodinger </w:t>
      </w:r>
      <w:r w:rsidR="00CD7E8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center</w:t>
      </w:r>
      <w:r w:rsidR="002136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for molecular simulations for providing infrastructure for this work.</w:t>
      </w:r>
    </w:p>
    <w:p w14:paraId="2F9A658D" w14:textId="77777777" w:rsidR="005F52CF" w:rsidRDefault="005F52CF" w:rsidP="0028490A">
      <w:pPr>
        <w:jc w:val="both"/>
        <w:rPr>
          <w:rFonts w:ascii="Arial" w:eastAsia="Calibri" w:hAnsi="Arial" w:cs="Calibri"/>
          <w:bCs/>
          <w:noProof/>
          <w:kern w:val="0"/>
          <w:sz w:val="20"/>
          <w:szCs w:val="20"/>
          <w:lang w:val="en-US"/>
        </w:rPr>
      </w:pPr>
    </w:p>
    <w:sectPr w:rsidR="005F5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C169" w14:textId="77777777" w:rsidR="00CC0A79" w:rsidRDefault="00CC0A79" w:rsidP="004405F7">
      <w:pPr>
        <w:spacing w:after="0" w:line="240" w:lineRule="auto"/>
      </w:pPr>
      <w:r>
        <w:separator/>
      </w:r>
    </w:p>
  </w:endnote>
  <w:endnote w:type="continuationSeparator" w:id="0">
    <w:p w14:paraId="171FC91B" w14:textId="77777777" w:rsidR="00CC0A79" w:rsidRDefault="00CC0A79" w:rsidP="0044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C9784" w14:textId="77777777" w:rsidR="00CC0A79" w:rsidRDefault="00CC0A79" w:rsidP="004405F7">
      <w:pPr>
        <w:spacing w:after="0" w:line="240" w:lineRule="auto"/>
      </w:pPr>
      <w:r>
        <w:separator/>
      </w:r>
    </w:p>
  </w:footnote>
  <w:footnote w:type="continuationSeparator" w:id="0">
    <w:p w14:paraId="728C6373" w14:textId="77777777" w:rsidR="00CC0A79" w:rsidRDefault="00CC0A79" w:rsidP="0044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6AD0"/>
    <w:rsid w:val="00032760"/>
    <w:rsid w:val="000410C1"/>
    <w:rsid w:val="00107368"/>
    <w:rsid w:val="00113BB7"/>
    <w:rsid w:val="001C4F29"/>
    <w:rsid w:val="002017E6"/>
    <w:rsid w:val="00210037"/>
    <w:rsid w:val="00213608"/>
    <w:rsid w:val="0028490A"/>
    <w:rsid w:val="00294059"/>
    <w:rsid w:val="002F2A63"/>
    <w:rsid w:val="003206E4"/>
    <w:rsid w:val="003A6D5C"/>
    <w:rsid w:val="003D01EA"/>
    <w:rsid w:val="003E3FA8"/>
    <w:rsid w:val="003F7D5D"/>
    <w:rsid w:val="00422844"/>
    <w:rsid w:val="004405F7"/>
    <w:rsid w:val="004A51B6"/>
    <w:rsid w:val="004C0ACF"/>
    <w:rsid w:val="00510CF8"/>
    <w:rsid w:val="00563E5D"/>
    <w:rsid w:val="00575A29"/>
    <w:rsid w:val="005F52CF"/>
    <w:rsid w:val="00601754"/>
    <w:rsid w:val="006A34BE"/>
    <w:rsid w:val="006D6895"/>
    <w:rsid w:val="006F0B24"/>
    <w:rsid w:val="006F3F1C"/>
    <w:rsid w:val="007141F2"/>
    <w:rsid w:val="007561D8"/>
    <w:rsid w:val="00786945"/>
    <w:rsid w:val="0079483F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AD510E"/>
    <w:rsid w:val="00B4721D"/>
    <w:rsid w:val="00B60B31"/>
    <w:rsid w:val="00B8473A"/>
    <w:rsid w:val="00BC721B"/>
    <w:rsid w:val="00BE2578"/>
    <w:rsid w:val="00BF13FC"/>
    <w:rsid w:val="00C21815"/>
    <w:rsid w:val="00C315D2"/>
    <w:rsid w:val="00C330D6"/>
    <w:rsid w:val="00C353D8"/>
    <w:rsid w:val="00CC0A79"/>
    <w:rsid w:val="00CD7E88"/>
    <w:rsid w:val="00CF5A91"/>
    <w:rsid w:val="00D02BB1"/>
    <w:rsid w:val="00D2241B"/>
    <w:rsid w:val="00D45A74"/>
    <w:rsid w:val="00D7428F"/>
    <w:rsid w:val="00E6388C"/>
    <w:rsid w:val="00EC3746"/>
    <w:rsid w:val="00EE0872"/>
    <w:rsid w:val="00F539FB"/>
    <w:rsid w:val="00F85528"/>
    <w:rsid w:val="00F85D14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05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5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F7"/>
  </w:style>
  <w:style w:type="paragraph" w:styleId="Footer">
    <w:name w:val="footer"/>
    <w:basedOn w:val="Normal"/>
    <w:link w:val="FooterChar"/>
    <w:uiPriority w:val="99"/>
    <w:unhideWhenUsed/>
    <w:rsid w:val="0044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0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65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8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3389/fphar.2022.102789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90/molecules280624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39/d2np00091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Mangala Shenoy K - 210600005</cp:lastModifiedBy>
  <cp:revision>15</cp:revision>
  <dcterms:created xsi:type="dcterms:W3CDTF">2025-05-27T05:18:00Z</dcterms:created>
  <dcterms:modified xsi:type="dcterms:W3CDTF">2025-05-30T06:16:00Z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