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center"/>
        <w:rPr>
          <w:rFonts w:hint="default" w:ascii="Times New Roman Bold" w:hAnsi="Times New Roman Bold" w:eastAsia="宋体" w:cs="Times New Roman Bold"/>
          <w:b/>
          <w:bCs/>
          <w:sz w:val="21"/>
          <w:szCs w:val="21"/>
          <w:lang w:val="en-US" w:eastAsia="zh-CN"/>
        </w:rPr>
      </w:pPr>
      <w:r>
        <w:rPr>
          <w:rFonts w:hint="default" w:ascii="Times New Roman Bold" w:hAnsi="Times New Roman Bold" w:eastAsia="宋体" w:cs="Times New Roman Bold"/>
          <w:b/>
          <w:bCs/>
          <w:sz w:val="21"/>
          <w:szCs w:val="21"/>
          <w:lang w:val="en-US" w:eastAsia="zh-CN"/>
        </w:rPr>
        <w:t>Clinical Efficacy and Safety of Therapeutic Plasma Exchange for Acute Anticoagulant Rodenticide Poisoning</w:t>
      </w:r>
    </w:p>
    <w:p>
      <w:pPr>
        <w:bidi w:val="0"/>
        <w:jc w:val="left"/>
        <w:rPr>
          <w:rFonts w:hint="default" w:ascii="Times New Roman Regular" w:hAnsi="Times New Roman Regular" w:eastAsia="宋体" w:cs="Times New Roman Regular"/>
          <w:sz w:val="21"/>
          <w:szCs w:val="21"/>
          <w:lang w:val="en-US" w:eastAsia="zh-CN"/>
        </w:rPr>
      </w:pPr>
      <w:bookmarkStart w:id="0" w:name="_GoBack"/>
      <w:r>
        <w:rPr>
          <w:rFonts w:hint="default" w:ascii="Times New Roman Regular" w:hAnsi="Times New Roman Regular" w:eastAsia="宋体" w:cs="Times New Roman Regular"/>
          <w:b/>
          <w:bCs/>
          <w:sz w:val="21"/>
          <w:szCs w:val="21"/>
          <w:lang w:eastAsia="zh-CN"/>
        </w:rPr>
        <w:t>【Abstract】</w:t>
      </w:r>
      <w:r>
        <w:rPr>
          <w:rFonts w:hint="eastAsia" w:ascii="Times New Roman Regular" w:hAnsi="Times New Roman Regular" w:eastAsia="宋体" w:cs="Times New Roman Regular"/>
          <w:b/>
          <w:bCs/>
          <w:sz w:val="21"/>
          <w:szCs w:val="21"/>
          <w:lang w:val="en-US" w:eastAsia="zh-CN"/>
        </w:rPr>
        <w:t xml:space="preserve">Background </w:t>
      </w:r>
      <w:r>
        <w:rPr>
          <w:rFonts w:hint="default" w:ascii="Times New Roman Regular" w:hAnsi="Times New Roman Regular" w:eastAsia="宋体" w:cs="Times New Roman Regular"/>
          <w:sz w:val="21"/>
          <w:szCs w:val="21"/>
          <w:lang w:val="en-US" w:eastAsia="zh-CN"/>
        </w:rPr>
        <w:t>Anticoagulant rodenticides caused impaired synthesis of coagulation factors, whereas therapeutic PE removed circulating toxins and abnormal coagulation inhibitors directly while simultaneously replenished coagulation factors.</w:t>
      </w:r>
      <w:r>
        <w:rPr>
          <w:rFonts w:hint="eastAsia"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b/>
          <w:bCs/>
          <w:sz w:val="21"/>
          <w:szCs w:val="21"/>
          <w:lang w:eastAsia="zh-CN"/>
        </w:rPr>
        <w:t>Objectiv</w:t>
      </w:r>
      <w:r>
        <w:rPr>
          <w:rFonts w:hint="default" w:ascii="Times New Roman Regular" w:hAnsi="Times New Roman Regular" w:eastAsia="宋体" w:cs="Times New Roman Regular"/>
          <w:sz w:val="21"/>
          <w:szCs w:val="21"/>
          <w:lang w:eastAsia="zh-CN"/>
        </w:rPr>
        <w:t>e</w:t>
      </w:r>
      <w:r>
        <w:rPr>
          <w:rFonts w:hint="default" w:ascii="Times New Roman Regular" w:hAnsi="Times New Roman Regular" w:eastAsia="宋体" w:cs="Times New Roman Regular"/>
          <w:sz w:val="21"/>
          <w:szCs w:val="21"/>
          <w:lang w:val="en-US" w:eastAsia="zh-CN"/>
        </w:rPr>
        <w:t xml:space="preserve"> This study aimed to evaluate the clinical efficacy and safety of therapeutic PE in the treatment of acute anticoagulant rodenticide poisoning.</w:t>
      </w:r>
      <w:r>
        <w:rPr>
          <w:rFonts w:hint="eastAsia" w:ascii="Times New Roman Regular" w:hAnsi="Times New Roman Regular" w:eastAsia="宋体" w:cs="Times New Roman Regular"/>
          <w:sz w:val="21"/>
          <w:szCs w:val="21"/>
          <w:lang w:val="en-US" w:eastAsia="zh-CN"/>
        </w:rPr>
        <w:t xml:space="preserve"> </w:t>
      </w:r>
      <w:r>
        <w:rPr>
          <w:rFonts w:hint="default" w:ascii="Times New Roman Bold" w:hAnsi="Times New Roman Bold" w:eastAsia="宋体" w:cs="Times New Roman Bold"/>
          <w:b/>
          <w:bCs/>
          <w:sz w:val="21"/>
          <w:szCs w:val="21"/>
          <w:lang w:eastAsia="zh-CN"/>
        </w:rPr>
        <w:t>Methods</w:t>
      </w:r>
      <w:r>
        <w:rPr>
          <w:rFonts w:hint="default" w:ascii="Times New Roman Regular" w:hAnsi="Times New Roman Regular" w:eastAsia="宋体" w:cs="Times New Roman Regular"/>
          <w:sz w:val="21"/>
          <w:szCs w:val="21"/>
          <w:lang w:val="en-US" w:eastAsia="zh-CN"/>
        </w:rPr>
        <w:t xml:space="preserve"> A cross-sectional study was conducted among patients with acute anticoagulant rodenticide poisoning who were treated at Chongqing Sixth People’s Hospital between January 2023 and June 2025, and patients were assigned to the PE group(n=7) </w:t>
      </w:r>
      <w:r>
        <w:rPr>
          <w:rFonts w:hint="eastAsia" w:ascii="Times New Roman Regular" w:hAnsi="Times New Roman Regular" w:eastAsia="宋体" w:cs="Times New Roman Regular"/>
          <w:sz w:val="21"/>
          <w:szCs w:val="21"/>
          <w:lang w:val="en-US" w:eastAsia="zh-CN"/>
        </w:rPr>
        <w:t>and</w:t>
      </w:r>
      <w:r>
        <w:rPr>
          <w:rFonts w:hint="default" w:ascii="Times New Roman Regular" w:hAnsi="Times New Roman Regular" w:eastAsia="宋体" w:cs="Times New Roman Regular"/>
          <w:sz w:val="21"/>
          <w:szCs w:val="21"/>
          <w:lang w:val="en-US" w:eastAsia="zh-CN"/>
        </w:rPr>
        <w:t xml:space="preserve"> HP group(n=13) according to the treatment modality received.</w:t>
      </w:r>
      <w:r>
        <w:rPr>
          <w:rFonts w:hint="eastAsia" w:ascii="Times New Roman Regular" w:hAnsi="Times New Roman Regular" w:eastAsia="宋体" w:cs="Times New Roman Regular"/>
          <w:sz w:val="21"/>
          <w:szCs w:val="21"/>
          <w:lang w:val="en-US" w:eastAsia="zh-CN"/>
        </w:rPr>
        <w:t xml:space="preserve"> </w:t>
      </w:r>
      <w:r>
        <w:rPr>
          <w:rFonts w:hint="default" w:ascii="Times New Roman Bold" w:hAnsi="Times New Roman Bold" w:eastAsia="宋体" w:cs="Times New Roman Bold"/>
          <w:b/>
          <w:bCs/>
          <w:sz w:val="21"/>
          <w:szCs w:val="21"/>
          <w:lang w:eastAsia="zh-CN"/>
        </w:rPr>
        <w:t>Results</w:t>
      </w:r>
      <w:r>
        <w:rPr>
          <w:rFonts w:hint="default" w:ascii="Times New Roman Regular" w:hAnsi="Times New Roman Regular" w:eastAsia="宋体" w:cs="Times New Roman Regular"/>
          <w:sz w:val="21"/>
          <w:szCs w:val="21"/>
          <w:lang w:val="en-US" w:eastAsia="zh-CN"/>
        </w:rPr>
        <w:t xml:space="preserve"> A total of 20 patients were included, with a median age of </w:t>
      </w:r>
      <w:r>
        <w:rPr>
          <w:rFonts w:hint="eastAsia" w:ascii="Times New Roman Regular" w:hAnsi="Times New Roman Regular" w:eastAsia="宋体" w:cs="Times New Roman Regular"/>
          <w:sz w:val="21"/>
          <w:szCs w:val="21"/>
          <w:lang w:val="en-US" w:eastAsia="zh-CN"/>
        </w:rPr>
        <w:t>41</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IQR</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33</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52</w:t>
      </w:r>
      <w:r>
        <w:rPr>
          <w:rFonts w:hint="default" w:ascii="Times New Roman Regular" w:hAnsi="Times New Roman Regular" w:eastAsia="宋体" w:cs="Times New Roman Regular"/>
          <w:sz w:val="21"/>
          <w:szCs w:val="21"/>
          <w:lang w:val="en-US" w:eastAsia="zh-CN"/>
        </w:rPr>
        <w:t>)years. In the</w:t>
      </w:r>
      <w:r>
        <w:rPr>
          <w:rFonts w:hint="eastAsia"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lang w:val="en-US" w:eastAsia="zh-CN"/>
        </w:rPr>
        <w:t xml:space="preserve">PE group, the median number of treatment sessions was 3(IQR,2–4), and the median clearance rate during the initial session was significantly lower than that observed during subsequent sessions [15.4% (IQR, 12.1%–18.6%) vs 44.7% (IQR, 41.2%–48.9%), </w:t>
      </w:r>
      <w:r>
        <w:rPr>
          <w:rFonts w:hint="default" w:ascii="Times New Roman Italic" w:hAnsi="Times New Roman Italic" w:eastAsia="宋体" w:cs="Times New Roman Italic"/>
          <w:i/>
          <w:iCs/>
          <w:sz w:val="21"/>
          <w:szCs w:val="21"/>
          <w:lang w:val="en-US" w:eastAsia="zh-CN"/>
        </w:rPr>
        <w:t>P</w:t>
      </w:r>
      <w:r>
        <w:rPr>
          <w:rFonts w:hint="default" w:ascii="Times New Roman Regular" w:hAnsi="Times New Roman Regular" w:eastAsia="宋体" w:cs="Times New Roman Regular"/>
          <w:sz w:val="21"/>
          <w:szCs w:val="21"/>
          <w:lang w:val="en-US" w:eastAsia="zh-CN"/>
        </w:rPr>
        <w:t xml:space="preserve">&lt;0.05]. In the HP group, the median number of treatment sessions was </w:t>
      </w:r>
      <w:r>
        <w:rPr>
          <w:rFonts w:hint="eastAsia" w:ascii="Times New Roman Regular" w:hAnsi="Times New Roman Regular" w:eastAsia="宋体" w:cs="Times New Roman Regular"/>
          <w:sz w:val="21"/>
          <w:szCs w:val="21"/>
          <w:highlight w:val="yellow"/>
          <w:lang w:val="en-US" w:eastAsia="zh-CN"/>
        </w:rPr>
        <w:t xml:space="preserve">6 </w:t>
      </w:r>
      <w:r>
        <w:rPr>
          <w:rFonts w:hint="default" w:ascii="Times New Roman Regular" w:hAnsi="Times New Roman Regular" w:eastAsia="宋体" w:cs="Times New Roman Regular"/>
          <w:sz w:val="21"/>
          <w:szCs w:val="21"/>
          <w:highlight w:val="yellow"/>
          <w:lang w:val="en-US" w:eastAsia="zh-CN"/>
        </w:rPr>
        <w:t>(</w:t>
      </w:r>
      <w:r>
        <w:rPr>
          <w:rFonts w:hint="eastAsia" w:ascii="Times New Roman Regular" w:hAnsi="Times New Roman Regular" w:eastAsia="宋体" w:cs="Times New Roman Regular"/>
          <w:sz w:val="21"/>
          <w:szCs w:val="21"/>
          <w:highlight w:val="yellow"/>
          <w:lang w:val="en-US" w:eastAsia="zh-CN"/>
        </w:rPr>
        <w:t>IQR</w:t>
      </w:r>
      <w:r>
        <w:rPr>
          <w:rFonts w:hint="default" w:ascii="Times New Roman Regular" w:hAnsi="Times New Roman Regular" w:eastAsia="宋体" w:cs="Times New Roman Regular"/>
          <w:sz w:val="21"/>
          <w:szCs w:val="21"/>
          <w:highlight w:val="yellow"/>
          <w:lang w:val="en-US" w:eastAsia="zh-CN"/>
        </w:rPr>
        <w:t xml:space="preserve">, </w:t>
      </w:r>
      <w:r>
        <w:rPr>
          <w:rFonts w:hint="eastAsia" w:ascii="Times New Roman Regular" w:hAnsi="Times New Roman Regular" w:eastAsia="宋体" w:cs="Times New Roman Regular"/>
          <w:sz w:val="21"/>
          <w:szCs w:val="21"/>
          <w:highlight w:val="yellow"/>
          <w:lang w:val="en-US" w:eastAsia="zh-CN"/>
        </w:rPr>
        <w:t>2</w:t>
      </w:r>
      <w:r>
        <w:rPr>
          <w:rFonts w:hint="default" w:ascii="Times New Roman Regular" w:hAnsi="Times New Roman Regular" w:eastAsia="宋体" w:cs="Times New Roman Regular"/>
          <w:sz w:val="21"/>
          <w:szCs w:val="21"/>
          <w:highlight w:val="yellow"/>
          <w:lang w:val="en-US" w:eastAsia="zh-CN"/>
        </w:rPr>
        <w:t>–</w:t>
      </w:r>
      <w:r>
        <w:rPr>
          <w:rFonts w:hint="eastAsia" w:ascii="Times New Roman Regular" w:hAnsi="Times New Roman Regular" w:eastAsia="宋体" w:cs="Times New Roman Regular"/>
          <w:sz w:val="21"/>
          <w:szCs w:val="21"/>
          <w:highlight w:val="yellow"/>
          <w:lang w:val="en-US" w:eastAsia="zh-CN"/>
        </w:rPr>
        <w:t>15</w:t>
      </w:r>
      <w:r>
        <w:rPr>
          <w:rFonts w:hint="default" w:ascii="Times New Roman Regular" w:hAnsi="Times New Roman Regular" w:eastAsia="宋体" w:cs="Times New Roman Regular"/>
          <w:sz w:val="21"/>
          <w:szCs w:val="21"/>
          <w:highlight w:val="yellow"/>
          <w:lang w:val="en-US" w:eastAsia="zh-CN"/>
        </w:rPr>
        <w:t>)</w:t>
      </w:r>
      <w:r>
        <w:rPr>
          <w:rFonts w:hint="default" w:ascii="Times New Roman Regular" w:hAnsi="Times New Roman Regular" w:eastAsia="宋体" w:cs="Times New Roman Regular"/>
          <w:sz w:val="21"/>
          <w:szCs w:val="21"/>
          <w:lang w:val="en-US" w:eastAsia="zh-CN"/>
        </w:rPr>
        <w:t xml:space="preserve">, and the median single-session toxin clearance rate was </w:t>
      </w:r>
      <w:r>
        <w:rPr>
          <w:rFonts w:hint="eastAsia" w:ascii="Times New Roman Regular" w:hAnsi="Times New Roman Regular" w:eastAsia="宋体" w:cs="Times New Roman Regular"/>
          <w:sz w:val="21"/>
          <w:szCs w:val="21"/>
          <w:lang w:val="en-US" w:eastAsia="zh-CN"/>
        </w:rPr>
        <w:t>11.2%</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IQR</w:t>
      </w:r>
      <w:r>
        <w:rPr>
          <w:rFonts w:hint="default" w:ascii="Times New Roman Regular" w:hAnsi="Times New Roman Regular" w:eastAsia="宋体" w:cs="Times New Roman Regular"/>
          <w:sz w:val="21"/>
          <w:szCs w:val="21"/>
          <w:lang w:val="en-US" w:eastAsia="zh-CN"/>
        </w:rPr>
        <w:t xml:space="preserve">, </w:t>
      </w:r>
      <w:r>
        <w:rPr>
          <w:rFonts w:hint="eastAsia" w:ascii="Times New Roman Regular" w:hAnsi="Times New Roman Regular" w:eastAsia="宋体" w:cs="Times New Roman Regular"/>
          <w:sz w:val="21"/>
          <w:szCs w:val="21"/>
          <w:lang w:val="en-US" w:eastAsia="zh-CN"/>
        </w:rPr>
        <w:t>8.1%</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14.6%</w:t>
      </w:r>
      <w:r>
        <w:rPr>
          <w:rFonts w:hint="default" w:ascii="Times New Roman Regular" w:hAnsi="Times New Roman Regular" w:eastAsia="宋体" w:cs="Times New Roman Regular"/>
          <w:sz w:val="21"/>
          <w:szCs w:val="21"/>
          <w:lang w:val="en-US" w:eastAsia="zh-CN"/>
        </w:rPr>
        <w:t>). The median time to recovery to an INR≤1.5 [</w:t>
      </w:r>
      <w:r>
        <w:rPr>
          <w:rFonts w:hint="eastAsia" w:ascii="Times New Roman Regular" w:hAnsi="Times New Roman Regular" w:eastAsia="宋体" w:cs="Times New Roman Regular"/>
          <w:sz w:val="21"/>
          <w:szCs w:val="21"/>
          <w:highlight w:val="yellow"/>
          <w:lang w:val="en-US" w:eastAsia="zh-CN"/>
        </w:rPr>
        <w:t>2</w:t>
      </w:r>
      <w:r>
        <w:rPr>
          <w:rFonts w:hint="default" w:ascii="Times New Roman Regular" w:hAnsi="Times New Roman Regular" w:eastAsia="宋体" w:cs="Times New Roman Regular"/>
          <w:sz w:val="21"/>
          <w:szCs w:val="21"/>
          <w:highlight w:val="yellow"/>
          <w:lang w:val="en-US" w:eastAsia="zh-CN"/>
        </w:rPr>
        <w:t>(IQR,</w:t>
      </w:r>
      <w:r>
        <w:rPr>
          <w:rFonts w:hint="eastAsia" w:ascii="Times New Roman Regular" w:hAnsi="Times New Roman Regular" w:eastAsia="宋体" w:cs="Times New Roman Regular"/>
          <w:sz w:val="21"/>
          <w:szCs w:val="21"/>
          <w:highlight w:val="yellow"/>
          <w:lang w:val="en-US" w:eastAsia="zh-CN"/>
        </w:rPr>
        <w:t>2</w:t>
      </w:r>
      <w:r>
        <w:rPr>
          <w:rFonts w:hint="default" w:ascii="Times New Roman Regular" w:hAnsi="Times New Roman Regular" w:eastAsia="宋体" w:cs="Times New Roman Regular"/>
          <w:sz w:val="21"/>
          <w:szCs w:val="21"/>
          <w:highlight w:val="yellow"/>
          <w:lang w:val="en-US" w:eastAsia="zh-CN"/>
        </w:rPr>
        <w:t>–</w:t>
      </w:r>
      <w:r>
        <w:rPr>
          <w:rFonts w:hint="eastAsia" w:ascii="Times New Roman Regular" w:hAnsi="Times New Roman Regular" w:eastAsia="宋体" w:cs="Times New Roman Regular"/>
          <w:sz w:val="21"/>
          <w:szCs w:val="21"/>
          <w:highlight w:val="yellow"/>
          <w:lang w:val="en-US" w:eastAsia="zh-CN"/>
        </w:rPr>
        <w:t>3</w:t>
      </w:r>
      <w:r>
        <w:rPr>
          <w:rFonts w:hint="default" w:ascii="Times New Roman Regular" w:hAnsi="Times New Roman Regular" w:eastAsia="宋体" w:cs="Times New Roman Regular"/>
          <w:sz w:val="21"/>
          <w:szCs w:val="21"/>
          <w:highlight w:val="yellow"/>
          <w:lang w:val="en-US" w:eastAsia="zh-CN"/>
        </w:rPr>
        <w:t>)</w:t>
      </w:r>
      <w:r>
        <w:rPr>
          <w:rFonts w:hint="default" w:ascii="Times New Roman Regular" w:hAnsi="Times New Roman Regular" w:eastAsia="宋体" w:cs="Times New Roman Regular"/>
          <w:sz w:val="21"/>
          <w:szCs w:val="21"/>
          <w:lang w:val="en-US" w:eastAsia="zh-CN"/>
        </w:rPr>
        <w:t xml:space="preserve">days vs </w:t>
      </w:r>
      <w:r>
        <w:rPr>
          <w:rFonts w:hint="eastAsia" w:ascii="Times New Roman Regular" w:hAnsi="Times New Roman Regular" w:eastAsia="宋体" w:cs="Times New Roman Regular"/>
          <w:sz w:val="21"/>
          <w:szCs w:val="21"/>
          <w:highlight w:val="yellow"/>
          <w:lang w:val="en-US" w:eastAsia="zh-CN"/>
        </w:rPr>
        <w:t>4</w:t>
      </w:r>
      <w:r>
        <w:rPr>
          <w:rFonts w:hint="default" w:ascii="Times New Roman Regular" w:hAnsi="Times New Roman Regular" w:eastAsia="宋体" w:cs="Times New Roman Regular"/>
          <w:sz w:val="21"/>
          <w:szCs w:val="21"/>
          <w:highlight w:val="yellow"/>
          <w:lang w:val="en-US" w:eastAsia="zh-CN"/>
        </w:rPr>
        <w:t>(IQR,</w:t>
      </w:r>
      <w:r>
        <w:rPr>
          <w:rFonts w:hint="eastAsia" w:ascii="Times New Roman Regular" w:hAnsi="Times New Roman Regular" w:eastAsia="宋体" w:cs="Times New Roman Regular"/>
          <w:sz w:val="21"/>
          <w:szCs w:val="21"/>
          <w:highlight w:val="yellow"/>
          <w:lang w:val="en-US" w:eastAsia="zh-CN"/>
        </w:rPr>
        <w:t>3</w:t>
      </w:r>
      <w:r>
        <w:rPr>
          <w:rFonts w:hint="default" w:ascii="Times New Roman Regular" w:hAnsi="Times New Roman Regular" w:eastAsia="宋体" w:cs="Times New Roman Regular"/>
          <w:sz w:val="21"/>
          <w:szCs w:val="21"/>
          <w:highlight w:val="yellow"/>
          <w:lang w:val="en-US" w:eastAsia="zh-CN"/>
        </w:rPr>
        <w:t>–</w:t>
      </w:r>
      <w:r>
        <w:rPr>
          <w:rFonts w:hint="eastAsia" w:ascii="Times New Roman Regular" w:hAnsi="Times New Roman Regular" w:eastAsia="宋体" w:cs="Times New Roman Regular"/>
          <w:sz w:val="21"/>
          <w:szCs w:val="21"/>
          <w:highlight w:val="yellow"/>
          <w:lang w:val="en-US" w:eastAsia="zh-CN"/>
        </w:rPr>
        <w:t>5</w:t>
      </w:r>
      <w:r>
        <w:rPr>
          <w:rFonts w:hint="default" w:ascii="Times New Roman Regular" w:hAnsi="Times New Roman Regular" w:eastAsia="宋体" w:cs="Times New Roman Regular"/>
          <w:sz w:val="21"/>
          <w:szCs w:val="21"/>
          <w:highlight w:val="yellow"/>
          <w:lang w:val="en-US" w:eastAsia="zh-CN"/>
        </w:rPr>
        <w:t>)</w:t>
      </w:r>
      <w:r>
        <w:rPr>
          <w:rFonts w:hint="default" w:ascii="Times New Roman Regular" w:hAnsi="Times New Roman Regular" w:eastAsia="宋体" w:cs="Times New Roman Regular"/>
          <w:sz w:val="21"/>
          <w:szCs w:val="21"/>
          <w:lang w:val="en-US" w:eastAsia="zh-CN"/>
        </w:rPr>
        <w:t>days] and the median LOS [11(IQR,9–14)days</w:t>
      </w:r>
      <w:r>
        <w:rPr>
          <w:rFonts w:hint="eastAsia"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lang w:val="en-US" w:eastAsia="zh-CN"/>
        </w:rPr>
        <w:t>vs 16(IQR,13–20)days] were significantly shorter in the PE group than in the HP group(</w:t>
      </w:r>
      <w:r>
        <w:rPr>
          <w:rFonts w:hint="default" w:ascii="Times New Roman Italic" w:hAnsi="Times New Roman Italic" w:eastAsia="宋体" w:cs="Times New Roman Italic"/>
          <w:i/>
          <w:iCs/>
          <w:sz w:val="21"/>
          <w:szCs w:val="21"/>
          <w:lang w:val="en-US" w:eastAsia="zh-CN"/>
        </w:rPr>
        <w:t>P</w:t>
      </w:r>
      <w:r>
        <w:rPr>
          <w:rFonts w:hint="default" w:ascii="Times New Roman Regular" w:hAnsi="Times New Roman Regular" w:eastAsia="宋体" w:cs="Times New Roman Regular"/>
          <w:sz w:val="21"/>
          <w:szCs w:val="21"/>
          <w:lang w:val="en-US" w:eastAsia="zh-CN"/>
        </w:rPr>
        <w:t xml:space="preserve">&lt;0.05). </w:t>
      </w:r>
      <w:r>
        <w:rPr>
          <w:rFonts w:hint="default" w:ascii="Times New Roman Regular" w:hAnsi="Times New Roman Regular" w:eastAsia="宋体" w:cs="Times New Roman Regular"/>
          <w:sz w:val="21"/>
          <w:szCs w:val="21"/>
          <w:highlight w:val="yellow"/>
          <w:lang w:val="en-US" w:eastAsia="zh-CN"/>
        </w:rPr>
        <w:t xml:space="preserve">Two cases of </w:t>
      </w:r>
      <w:r>
        <w:rPr>
          <w:rFonts w:hint="eastAsia" w:ascii="Times New Roman Regular" w:hAnsi="Times New Roman Regular" w:eastAsia="宋体" w:cs="Times New Roman Regular"/>
          <w:kern w:val="2"/>
          <w:sz w:val="21"/>
          <w:szCs w:val="21"/>
          <w:highlight w:val="yellow"/>
          <w:lang w:val="en-US" w:eastAsia="zh-CN" w:bidi="ar-SA"/>
        </w:rPr>
        <w:t>VK1</w:t>
      </w:r>
      <w:r>
        <w:rPr>
          <w:rFonts w:hint="default" w:ascii="Times New Roman Regular" w:hAnsi="Times New Roman Regular" w:eastAsia="宋体" w:cs="Times New Roman Regular"/>
          <w:sz w:val="21"/>
          <w:szCs w:val="21"/>
          <w:highlight w:val="yellow"/>
          <w:lang w:val="en-US" w:eastAsia="zh-CN"/>
        </w:rPr>
        <w:t xml:space="preserve"> allergy were observed in the PE group.</w:t>
      </w:r>
      <w:r>
        <w:rPr>
          <w:rFonts w:hint="eastAsia" w:ascii="Times New Roman Regular" w:hAnsi="Times New Roman Regular" w:eastAsia="宋体" w:cs="Times New Roman Regular"/>
          <w:sz w:val="21"/>
          <w:szCs w:val="21"/>
          <w:highlight w:val="yellow"/>
          <w:lang w:val="en-US" w:eastAsia="zh-CN"/>
        </w:rPr>
        <w:t xml:space="preserve"> </w:t>
      </w:r>
      <w:r>
        <w:rPr>
          <w:rFonts w:hint="default" w:ascii="Times New Roman Bold" w:hAnsi="Times New Roman Bold" w:eastAsia="宋体" w:cs="Times New Roman Bold"/>
          <w:b/>
          <w:bCs/>
          <w:sz w:val="21"/>
          <w:szCs w:val="21"/>
          <w:lang w:eastAsia="zh-CN"/>
        </w:rPr>
        <w:t>Conclusion</w:t>
      </w:r>
      <w:r>
        <w:rPr>
          <w:rFonts w:hint="default" w:ascii="Times New Roman Bold" w:hAnsi="Times New Roman Bold" w:eastAsia="宋体" w:cs="Times New Roman Bold"/>
          <w:b/>
          <w:bCs/>
          <w:sz w:val="21"/>
          <w:szCs w:val="21"/>
          <w:lang w:val="en-US" w:eastAsia="zh-CN"/>
        </w:rPr>
        <w:t xml:space="preserve"> </w:t>
      </w:r>
      <w:r>
        <w:rPr>
          <w:rFonts w:hint="default" w:ascii="Times New Roman Regular" w:hAnsi="Times New Roman Regular" w:eastAsia="宋体" w:cs="Times New Roman Regular"/>
          <w:sz w:val="21"/>
          <w:szCs w:val="21"/>
          <w:lang w:val="en-US" w:eastAsia="zh-CN"/>
        </w:rPr>
        <w:t>Compared with HP, therapeutic PE was associated with higher clearance efficiency of acute anticoagulant rodenticides,</w:t>
      </w:r>
      <w:r>
        <w:rPr>
          <w:rFonts w:hint="eastAsia" w:ascii="Times New Roman Regular" w:hAnsi="Times New Roman Regular" w:eastAsia="宋体" w:cs="Times New Roman Regular"/>
          <w:sz w:val="21"/>
          <w:szCs w:val="21"/>
          <w:lang w:val="en-US" w:eastAsia="zh-CN"/>
        </w:rPr>
        <w:t xml:space="preserve"> </w:t>
      </w:r>
      <w:r>
        <w:rPr>
          <w:rFonts w:hint="default" w:ascii="Times New Roman Regular" w:hAnsi="Times New Roman Regular" w:eastAsia="宋体" w:cs="Times New Roman Regular"/>
          <w:sz w:val="21"/>
          <w:szCs w:val="21"/>
          <w:lang w:val="en-US" w:eastAsia="zh-CN"/>
        </w:rPr>
        <w:t>with a favorable safety profile.</w:t>
      </w:r>
    </w:p>
    <w:bookmarkEnd w:id="0"/>
    <w:p>
      <w:pPr>
        <w:bidi w:val="0"/>
        <w:jc w:val="left"/>
        <w:rPr>
          <w:rFonts w:hint="eastAsia" w:ascii="Times New Roman Regular" w:hAnsi="Times New Roman Regular" w:eastAsia="宋体" w:cs="Times New Roman Regular"/>
          <w:sz w:val="21"/>
          <w:szCs w:val="21"/>
          <w:highlight w:val="none"/>
          <w:lang w:val="en-US" w:eastAsia="zh-CN"/>
        </w:rPr>
      </w:pPr>
      <w:r>
        <w:rPr>
          <w:rFonts w:hint="default" w:ascii="Times New Roman Regular" w:hAnsi="Times New Roman Regular" w:eastAsia="宋体" w:cs="Times New Roman Regular"/>
          <w:b/>
          <w:bCs/>
          <w:sz w:val="21"/>
          <w:szCs w:val="21"/>
          <w:lang w:eastAsia="zh-CN"/>
        </w:rPr>
        <w:t>【Keywords】</w:t>
      </w:r>
      <w:r>
        <w:rPr>
          <w:rFonts w:hint="eastAsia" w:ascii="Times New Roman Regular" w:hAnsi="Times New Roman Regular" w:eastAsia="宋体" w:cs="Times New Roman Regular"/>
          <w:sz w:val="21"/>
          <w:szCs w:val="21"/>
          <w:highlight w:val="none"/>
          <w:lang w:val="en-US" w:eastAsia="zh-CN"/>
        </w:rPr>
        <w:t>PE</w:t>
      </w:r>
      <w:r>
        <w:rPr>
          <w:rFonts w:hint="default" w:ascii="Times New Roman Regular" w:hAnsi="Times New Roman Regular" w:eastAsia="宋体" w:cs="Times New Roman Regular"/>
          <w:sz w:val="21"/>
          <w:szCs w:val="21"/>
          <w:lang w:val="en-US" w:eastAsia="zh-CN"/>
        </w:rPr>
        <w:t>,</w:t>
      </w:r>
      <w:r>
        <w:rPr>
          <w:rFonts w:hint="eastAsia" w:ascii="Times New Roman Regular" w:hAnsi="Times New Roman Regular" w:eastAsia="宋体" w:cs="Times New Roman Regular"/>
          <w:sz w:val="21"/>
          <w:szCs w:val="21"/>
          <w:lang w:val="en-US" w:eastAsia="zh-CN"/>
        </w:rPr>
        <w:t xml:space="preserve"> </w:t>
      </w:r>
      <w:r>
        <w:rPr>
          <w:rFonts w:hint="eastAsia" w:ascii="Times New Roman Regular" w:hAnsi="Times New Roman Regular" w:eastAsia="宋体" w:cs="Times New Roman Regular"/>
          <w:sz w:val="21"/>
          <w:szCs w:val="21"/>
          <w:highlight w:val="none"/>
          <w:lang w:val="en-US" w:eastAsia="zh-CN"/>
        </w:rPr>
        <w:t>HP</w:t>
      </w:r>
    </w:p>
    <w:p>
      <w:pPr>
        <w:rPr>
          <w:rFonts w:hint="default" w:ascii="Times New Roman Bold" w:hAnsi="Times New Roman Bold" w:eastAsia="宋体" w:cs="Times New Roman Bold"/>
          <w:b/>
          <w:bCs/>
          <w:sz w:val="21"/>
          <w:szCs w:val="21"/>
          <w:highlight w:val="none"/>
          <w:lang w:val="en-US" w:eastAsia="zh-CN"/>
        </w:rPr>
      </w:pPr>
      <w:r>
        <w:rPr>
          <w:rFonts w:hint="default" w:ascii="Times New Roman Bold" w:hAnsi="Times New Roman Bold" w:eastAsia="宋体" w:cs="Times New Roman Bold"/>
          <w:b/>
          <w:bCs/>
          <w:sz w:val="21"/>
          <w:szCs w:val="21"/>
          <w:highlight w:val="none"/>
          <w:lang w:val="en-US" w:eastAsia="zh-CN"/>
        </w:rPr>
        <w:t>References</w:t>
      </w:r>
    </w:p>
    <w:p>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Roy A, Premkumar M. Innovations to Improve Survival in Acute Liver Failure. J Clin Exp Hepatol. 2026;16(1):103190. doi:10.1016/j.jceh.2025.103190</w:t>
      </w:r>
    </w:p>
    <w:p>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Scammell K, Cooke R, Yokochi K, Carter N, Nguyen H, White JG. The missing toxic link: Exposure of non-target native marsupials to second-generation anticoagulant rodenticides (SGARs) suggest a potential route of transfer into apex predators. Sci Total Environ. 2024;933:173191. doi:10.1016/j.scitotenv.2024.173191</w:t>
      </w:r>
    </w:p>
    <w:p>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Oliva-Vidal P, Martínez JM, Sánchez-Barbudo IS, et al. Second-generation anticoagulant rodenticides in the blood of obligate and facultative European avian scavengers. Environ Pollut. 2022;315:120385. doi:10.1016/j.envpol.2022.120385</w:t>
      </w:r>
    </w:p>
    <w:p>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Schmieg H, Ferling H, Bucher KA, et al. Brodifacoum causes coagulopathy, hemorrhages, and mortality in rainbow trout (Oncorhynchus mykiss) at environmentally relevant hepatic residue concentrations. Ecotoxicol Environ Saf. 2025;289:117629. doi:10.1016/j.ecoenv.2024.117629</w:t>
      </w:r>
    </w:p>
    <w:p>
      <w:pPr>
        <w:numPr>
          <w:ilvl w:val="0"/>
          <w:numId w:val="1"/>
        </w:numPr>
        <w:ind w:left="0" w:leftChars="0" w:firstLine="0" w:firstLineChars="0"/>
        <w:jc w:val="left"/>
        <w:rPr>
          <w:rFonts w:hint="eastAsia"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Picone M, Volpi Ghirardini A, Piazza R, Bonato T. First evidence of the suitability of hair for assessing wildlife exposure to anticoagulant rodenticides (ARs). Environ Res. 2025;264(Pt 1):120302. doi:10.1016/j.envres.2024.120302</w:t>
      </w:r>
    </w:p>
    <w:p>
      <w:pPr>
        <w:bidi w:val="0"/>
        <w:ind w:firstLine="420" w:firstLineChars="200"/>
        <w:jc w:val="left"/>
        <w:rPr>
          <w:rFonts w:hint="default" w:ascii="Times New Roman Regular" w:hAnsi="Times New Roman Regular" w:eastAsia="宋体" w:cs="Times New Roman Regular"/>
          <w:sz w:val="21"/>
          <w:szCs w:val="21"/>
          <w:highlight w:val="none"/>
          <w:lang w:val="en-US" w:eastAsia="zh-CN"/>
        </w:rPr>
      </w:pPr>
      <w:r>
        <w:rPr>
          <w:rFonts w:hint="eastAsia" w:ascii="Times New Roman Regular" w:hAnsi="Times New Roman Regular" w:eastAsia="宋体" w:cs="Times New Roman Regular"/>
          <w:sz w:val="21"/>
          <w:szCs w:val="21"/>
          <w:highlight w:val="none"/>
          <w:lang w:val="en-US" w:eastAsia="zh-CN"/>
        </w:rPr>
        <w:t>备注：血浆置换（plasma exchange，PE）；</w:t>
      </w:r>
      <w:r>
        <w:rPr>
          <w:rFonts w:hint="eastAsia" w:ascii="Times New Roman Regular" w:hAnsi="Times New Roman Regular" w:eastAsia="宋体" w:cs="Times New Roman Regular"/>
          <w:sz w:val="21"/>
          <w:szCs w:val="21"/>
          <w:lang w:val="en-US" w:eastAsia="zh-CN"/>
        </w:rPr>
        <w:t>血液灌流（</w:t>
      </w:r>
      <w:r>
        <w:rPr>
          <w:rFonts w:hint="eastAsia" w:ascii="Times New Roman Regular" w:hAnsi="Times New Roman Regular" w:eastAsia="宋体" w:cs="Times New Roman Regular"/>
          <w:sz w:val="21"/>
          <w:szCs w:val="21"/>
          <w:highlight w:val="none"/>
          <w:lang w:val="en-US" w:eastAsia="zh-CN"/>
        </w:rPr>
        <w:t>hemoperfusion，HP）；国际标准化比值（international normalized ratio，INR）；</w:t>
      </w:r>
      <w:r>
        <w:rPr>
          <w:rFonts w:hint="default" w:ascii="Times New Roman Regular" w:hAnsi="Times New Roman Regular" w:eastAsia="宋体" w:cs="Times New Roman Regular"/>
          <w:b w:val="0"/>
          <w:i w:val="0"/>
          <w:iCs w:val="0"/>
          <w:caps w:val="0"/>
          <w:color w:val="000000"/>
          <w:spacing w:val="0"/>
          <w:kern w:val="0"/>
          <w:sz w:val="21"/>
          <w:szCs w:val="21"/>
          <w:u w:val="none"/>
          <w:lang w:val="en-US" w:eastAsia="zh-CN" w:bidi="ar"/>
        </w:rPr>
        <w:t>住院时间</w:t>
      </w:r>
      <w:r>
        <w:rPr>
          <w:rFonts w:hint="eastAsia" w:ascii="Times New Roman Regular" w:hAnsi="Times New Roman Regular" w:eastAsia="宋体" w:cs="Times New Roman Regular"/>
          <w:b w:val="0"/>
          <w:i w:val="0"/>
          <w:iCs w:val="0"/>
          <w:caps w:val="0"/>
          <w:color w:val="000000"/>
          <w:spacing w:val="0"/>
          <w:kern w:val="0"/>
          <w:sz w:val="21"/>
          <w:szCs w:val="21"/>
          <w:u w:val="none"/>
          <w:lang w:val="en-US" w:eastAsia="zh-CN" w:bidi="ar"/>
        </w:rPr>
        <w:t>（length of hospital stay，</w:t>
      </w:r>
      <w:r>
        <w:rPr>
          <w:rFonts w:hint="default" w:ascii="Times New Roman Regular" w:hAnsi="Times New Roman Regular" w:eastAsia="宋体" w:cs="Times New Roman Regular"/>
          <w:b w:val="0"/>
          <w:i w:val="0"/>
          <w:iCs w:val="0"/>
          <w:caps w:val="0"/>
          <w:color w:val="000000"/>
          <w:spacing w:val="0"/>
          <w:kern w:val="0"/>
          <w:sz w:val="21"/>
          <w:szCs w:val="21"/>
          <w:u w:val="none"/>
          <w:lang w:val="en-US" w:eastAsia="zh-CN" w:bidi="ar"/>
        </w:rPr>
        <w:t>LOS</w:t>
      </w:r>
      <w:r>
        <w:rPr>
          <w:rFonts w:hint="eastAsia" w:ascii="Times New Roman Regular" w:hAnsi="Times New Roman Regular" w:eastAsia="宋体" w:cs="Times New Roman Regular"/>
          <w:b w:val="0"/>
          <w:i w:val="0"/>
          <w:iCs w:val="0"/>
          <w:caps w:val="0"/>
          <w:color w:val="000000"/>
          <w:spacing w:val="0"/>
          <w:kern w:val="0"/>
          <w:sz w:val="21"/>
          <w:szCs w:val="21"/>
          <w:u w:val="none"/>
          <w:lang w:val="en-US" w:eastAsia="zh-CN" w:bidi="ar"/>
        </w:rPr>
        <w:t>）；</w:t>
      </w:r>
      <w:r>
        <w:rPr>
          <w:rFonts w:hint="eastAsia" w:ascii="Times New Roman Regular" w:hAnsi="Times New Roman Regular" w:eastAsia="宋体" w:cs="Times New Roman Regular"/>
          <w:b w:val="0"/>
          <w:bCs/>
          <w:sz w:val="21"/>
          <w:szCs w:val="21"/>
          <w:lang w:val="en-US" w:eastAsia="zh-CN"/>
        </w:rPr>
        <w:t>不良事件（adverse event，AE）；</w:t>
      </w:r>
      <w:r>
        <w:rPr>
          <w:rFonts w:hint="eastAsia" w:ascii="Times New Roman Regular" w:hAnsi="Times New Roman Regular" w:eastAsia="宋体" w:cs="Times New Roman Regular"/>
          <w:kern w:val="2"/>
          <w:sz w:val="21"/>
          <w:szCs w:val="21"/>
          <w:lang w:val="en-US" w:eastAsia="zh-CN" w:bidi="ar-SA"/>
        </w:rPr>
        <w:t>四分位间距（interquartile range，IQR）；</w:t>
      </w:r>
      <w:r>
        <w:rPr>
          <w:rFonts w:hint="eastAsia" w:ascii="Times New Roman Regular" w:hAnsi="Times New Roman Regular" w:eastAsia="宋体" w:cs="Times New Roman Regular"/>
          <w:kern w:val="2"/>
          <w:sz w:val="21"/>
          <w:szCs w:val="21"/>
          <w:highlight w:val="yellow"/>
          <w:lang w:val="en-US" w:eastAsia="zh-CN" w:bidi="ar-SA"/>
        </w:rPr>
        <w:t>维生素K1(vitamin K1，VK1)</w:t>
      </w:r>
      <w:r>
        <w:rPr>
          <w:rFonts w:hint="eastAsia" w:ascii="Times New Roman Regular" w:hAnsi="Times New Roman Regular" w:eastAsia="宋体" w:cs="Times New Roman Regular"/>
          <w:kern w:val="2"/>
          <w:sz w:val="21"/>
          <w:szCs w:val="21"/>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Times New Roman Regular">
    <w:altName w:val="Times New Roman"/>
    <w:panose1 w:val="02020503050405090304"/>
    <w:charset w:val="0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DCC2B"/>
    <w:multiLevelType w:val="singleLevel"/>
    <w:tmpl w:val="9FFDCC2B"/>
    <w:lvl w:ilvl="0" w:tentative="0">
      <w:start w:val="1"/>
      <w:numFmt w:val="decimal"/>
      <w:lvlText w:val="[%1]"/>
      <w:lvlJc w:val="left"/>
      <w:pPr>
        <w:tabs>
          <w:tab w:val="left" w:pos="312"/>
        </w:tabs>
      </w:pPr>
      <w:rPr>
        <w:rFonts w:hint="default"/>
        <w:sz w:val="21"/>
        <w:szCs w:val="2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OGM2MDgzMmFiZDNlODFjNWNhNTNhNjg2MDY2OWYifQ=="/>
  </w:docVars>
  <w:rsids>
    <w:rsidRoot w:val="F9DD55CC"/>
    <w:rsid w:val="0FBB3E35"/>
    <w:rsid w:val="0FFE4552"/>
    <w:rsid w:val="0FFFB8C3"/>
    <w:rsid w:val="114E9E3E"/>
    <w:rsid w:val="1BBB04BD"/>
    <w:rsid w:val="1CD7F7AF"/>
    <w:rsid w:val="1FEF6285"/>
    <w:rsid w:val="2B3B6C35"/>
    <w:rsid w:val="2E7FECD7"/>
    <w:rsid w:val="32EDF9A6"/>
    <w:rsid w:val="37EF2477"/>
    <w:rsid w:val="3AE956EE"/>
    <w:rsid w:val="3BDFCE58"/>
    <w:rsid w:val="3EB5128D"/>
    <w:rsid w:val="3F7328EE"/>
    <w:rsid w:val="3FF2F54F"/>
    <w:rsid w:val="476B4AF9"/>
    <w:rsid w:val="4EFF543B"/>
    <w:rsid w:val="4FFD4A36"/>
    <w:rsid w:val="53F7270F"/>
    <w:rsid w:val="55EE3225"/>
    <w:rsid w:val="55FFE381"/>
    <w:rsid w:val="579FECBC"/>
    <w:rsid w:val="57FFE4AD"/>
    <w:rsid w:val="59F997F3"/>
    <w:rsid w:val="5DCF7C2F"/>
    <w:rsid w:val="5EFEA1DB"/>
    <w:rsid w:val="5F768AF6"/>
    <w:rsid w:val="5FDB9ED3"/>
    <w:rsid w:val="5FF11936"/>
    <w:rsid w:val="5FFDB508"/>
    <w:rsid w:val="6317F2F3"/>
    <w:rsid w:val="6697D9AE"/>
    <w:rsid w:val="66F57BA6"/>
    <w:rsid w:val="66FE8806"/>
    <w:rsid w:val="6733DF29"/>
    <w:rsid w:val="679F1C31"/>
    <w:rsid w:val="67CFDC2D"/>
    <w:rsid w:val="67F8877E"/>
    <w:rsid w:val="67FB3C1B"/>
    <w:rsid w:val="69F76A5A"/>
    <w:rsid w:val="6CF74E8C"/>
    <w:rsid w:val="6D97CE9F"/>
    <w:rsid w:val="6EB69BBE"/>
    <w:rsid w:val="6ED9F016"/>
    <w:rsid w:val="6EF13845"/>
    <w:rsid w:val="6F0F563B"/>
    <w:rsid w:val="6F8B0B4B"/>
    <w:rsid w:val="6FBD3D83"/>
    <w:rsid w:val="71D5A73E"/>
    <w:rsid w:val="732B0507"/>
    <w:rsid w:val="7369FFDE"/>
    <w:rsid w:val="7579174E"/>
    <w:rsid w:val="76C76ACE"/>
    <w:rsid w:val="77A9C217"/>
    <w:rsid w:val="77AF5B07"/>
    <w:rsid w:val="77B316A2"/>
    <w:rsid w:val="77F630DD"/>
    <w:rsid w:val="784A04A7"/>
    <w:rsid w:val="7B5A00E6"/>
    <w:rsid w:val="7B75ED0A"/>
    <w:rsid w:val="7BED2F8F"/>
    <w:rsid w:val="7BEEB59D"/>
    <w:rsid w:val="7BFDC000"/>
    <w:rsid w:val="7CAF39E3"/>
    <w:rsid w:val="7D46B6FC"/>
    <w:rsid w:val="7DBF7FC0"/>
    <w:rsid w:val="7EAF12EC"/>
    <w:rsid w:val="7EEFF11F"/>
    <w:rsid w:val="7F26BB6B"/>
    <w:rsid w:val="7F4B42EB"/>
    <w:rsid w:val="7F98FEB9"/>
    <w:rsid w:val="7FC6896C"/>
    <w:rsid w:val="7FCF6C7C"/>
    <w:rsid w:val="7FEA83E1"/>
    <w:rsid w:val="7FEDB23E"/>
    <w:rsid w:val="7FEF20CF"/>
    <w:rsid w:val="7FFBD743"/>
    <w:rsid w:val="7FFF779B"/>
    <w:rsid w:val="7FFF907E"/>
    <w:rsid w:val="8F57F4FB"/>
    <w:rsid w:val="97F17432"/>
    <w:rsid w:val="9BF8A3BC"/>
    <w:rsid w:val="9DFBA014"/>
    <w:rsid w:val="9FF9E4BE"/>
    <w:rsid w:val="A5ABE3FB"/>
    <w:rsid w:val="ACE5499C"/>
    <w:rsid w:val="B17D83B0"/>
    <w:rsid w:val="B3B6C2D3"/>
    <w:rsid w:val="B3B715F1"/>
    <w:rsid w:val="B3E9C262"/>
    <w:rsid w:val="B6CFF222"/>
    <w:rsid w:val="B953D6EE"/>
    <w:rsid w:val="BBD71379"/>
    <w:rsid w:val="BCB53BCF"/>
    <w:rsid w:val="BDBF3881"/>
    <w:rsid w:val="BF844604"/>
    <w:rsid w:val="BF9F1DAA"/>
    <w:rsid w:val="BFE366EE"/>
    <w:rsid w:val="C7935E67"/>
    <w:rsid w:val="CFD6B530"/>
    <w:rsid w:val="D5FF831F"/>
    <w:rsid w:val="D6A7789E"/>
    <w:rsid w:val="D77BD8C6"/>
    <w:rsid w:val="D7BF08D3"/>
    <w:rsid w:val="DAF71372"/>
    <w:rsid w:val="DCD38D6C"/>
    <w:rsid w:val="DDFAC392"/>
    <w:rsid w:val="DF4F0684"/>
    <w:rsid w:val="E7BFAE43"/>
    <w:rsid w:val="EBFF5053"/>
    <w:rsid w:val="ECEFCF02"/>
    <w:rsid w:val="EED05A0C"/>
    <w:rsid w:val="EF9F0F2D"/>
    <w:rsid w:val="EFB5360A"/>
    <w:rsid w:val="EFCF535C"/>
    <w:rsid w:val="EFDD37A3"/>
    <w:rsid w:val="EFE91FF8"/>
    <w:rsid w:val="EFF3B6CA"/>
    <w:rsid w:val="EFFFA10B"/>
    <w:rsid w:val="F2B3E77C"/>
    <w:rsid w:val="F33F328D"/>
    <w:rsid w:val="F3BFC350"/>
    <w:rsid w:val="F66DF5B3"/>
    <w:rsid w:val="F6BD0211"/>
    <w:rsid w:val="F6FFADD2"/>
    <w:rsid w:val="F74FE697"/>
    <w:rsid w:val="F7BDD21A"/>
    <w:rsid w:val="F7FC612C"/>
    <w:rsid w:val="F7FFF448"/>
    <w:rsid w:val="F93FE234"/>
    <w:rsid w:val="F9BFA4FB"/>
    <w:rsid w:val="F9DD55CC"/>
    <w:rsid w:val="FB6B5C51"/>
    <w:rsid w:val="FB9B1B9C"/>
    <w:rsid w:val="FBEF7CF1"/>
    <w:rsid w:val="FBF40794"/>
    <w:rsid w:val="FBFF3995"/>
    <w:rsid w:val="FDBF5A32"/>
    <w:rsid w:val="FDFF21DB"/>
    <w:rsid w:val="FDFF2E96"/>
    <w:rsid w:val="FE1C0E97"/>
    <w:rsid w:val="FECF6754"/>
    <w:rsid w:val="FEDF0D20"/>
    <w:rsid w:val="FEDF32D7"/>
    <w:rsid w:val="FEF74597"/>
    <w:rsid w:val="FFEF83A4"/>
    <w:rsid w:val="FFEF8D4D"/>
    <w:rsid w:val="FFF73603"/>
    <w:rsid w:val="FFF767C1"/>
    <w:rsid w:val="FFFE3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p1"/>
    <w:basedOn w:val="1"/>
    <w:uiPriority w:val="0"/>
    <w:pPr>
      <w:spacing w:before="0" w:beforeAutospacing="0" w:after="0" w:afterAutospacing="0"/>
      <w:ind w:left="0" w:right="0"/>
      <w:jc w:val="left"/>
    </w:pPr>
    <w:rPr>
      <w:rFonts w:ascii="Helvetica Neue" w:hAnsi="Helvetica Neue" w:eastAsia="Helvetica Neue" w:cs="Helvetica Neue"/>
      <w:kern w:val="0"/>
      <w:sz w:val="26"/>
      <w:szCs w:val="26"/>
      <w:lang w:val="en-US" w:eastAsia="zh-CN" w:bidi="ar"/>
    </w:rPr>
  </w:style>
  <w:style w:type="character" w:customStyle="1" w:styleId="9">
    <w:name w:val="s1"/>
    <w:basedOn w:val="6"/>
    <w:uiPriority w:val="0"/>
    <w:rPr>
      <w:rFonts w:ascii="pingfang sc" w:hAnsi="pingfang sc" w:eastAsia="pingfang sc" w:cs="pingfang sc"/>
      <w:sz w:val="26"/>
      <w:szCs w:val="2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476</Words>
  <Characters>2784</Characters>
  <Lines>0</Lines>
  <Paragraphs>0</Paragraphs>
  <TotalTime>3</TotalTime>
  <ScaleCrop>false</ScaleCrop>
  <LinksUpToDate>false</LinksUpToDate>
  <CharactersWithSpaces>3171</CharactersWithSpaces>
  <Application>WPS Office_11.1.0.11757_F1E327BC-269C-435d-A152-05C5408002CA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2023-12-13T19:15:00Z</dcterms:created>
  <dc:creator>爱笑进化论</dc:creator>
  <cp:lastModifiedBy>王雁黎</cp:lastModifiedBy>
  <dcterms:modified xsi:type="dcterms:W3CDTF">2026-04-19T14:21:54Z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2052-11.1.0.11757</vt:lpwstr>
  </property>
  <property fmtid="{D5CDD505-2E9C-101B-9397-08002B2CF9AE}" pid="3" name="ICV">
    <vt:lpwstr>C84A98CD74D04C9AA93367C405466B5F</vt:lpwstr>
  </property>
</Properties>
</file>