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58CF" w14:textId="797EE73D" w:rsidR="00B02CD7" w:rsidRPr="00B02CD7" w:rsidRDefault="00A861E8" w:rsidP="5E2C5F31">
      <w:pPr>
        <w:spacing w:after="0" w:line="240" w:lineRule="auto"/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</w:pPr>
      <w:r w:rsidRPr="00A861E8"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  <w:t xml:space="preserve">Preparation and Characterization of </w:t>
      </w:r>
      <w:proofErr w:type="spellStart"/>
      <w:r w:rsidRPr="00A861E8"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  <w:t>Entrectinib</w:t>
      </w:r>
      <w:proofErr w:type="spellEnd"/>
      <w:r w:rsidRPr="00A861E8"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  <w:t>-Loaded Supersaturated SNEDDS</w:t>
      </w:r>
    </w:p>
    <w:p w14:paraId="79141BD9" w14:textId="70D787BD" w:rsidR="00C315D2" w:rsidRPr="002A3C4D" w:rsidRDefault="007B6A26" w:rsidP="00C315D2">
      <w:pPr>
        <w:spacing w:after="0" w:line="240" w:lineRule="auto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Arial" w:eastAsia="맑은 고딕" w:hAnsi="Arial" w:cs="Calibri" w:hint="eastAsia"/>
          <w:b/>
          <w:kern w:val="0"/>
          <w:sz w:val="20"/>
          <w:szCs w:val="20"/>
          <w:u w:val="single"/>
          <w:lang w:eastAsia="ko-KR"/>
          <w14:ligatures w14:val="none"/>
        </w:rPr>
        <w:t>Sung Mo Park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Kwan Hyung Cho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37D4547" w14:textId="177F437E" w:rsidR="00C315D2" w:rsidRPr="00C315D2" w:rsidRDefault="00C315D2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</w:t>
      </w:r>
      <w:r w:rsidR="002A3C4D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of Pharmacy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2A3C4D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Inje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AA322F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Gimhae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552A0D"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Gyeongsangnam</w:t>
      </w:r>
      <w:proofErr w:type="spellEnd"/>
      <w:r w:rsidR="00552A0D"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-do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AA322F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Republic of Korea.</w:t>
      </w:r>
    </w:p>
    <w:p w14:paraId="2DD37039" w14:textId="1EE17825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469D7D7A" w14:textId="4EB94803" w:rsidR="001C3397" w:rsidRPr="00B34BCA" w:rsidRDefault="00B8473A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1C339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Entrectinib</w:t>
      </w:r>
      <w:proofErr w:type="spellEnd"/>
      <w:r w:rsidR="001C339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(ENT) is a poorly </w:t>
      </w:r>
      <w:r w:rsidR="001C3397" w:rsidRPr="001C3397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water-soluble, BCS c</w:t>
      </w:r>
      <w:r w:rsidR="00D6093A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la</w:t>
      </w:r>
      <w:r w:rsidR="001C3397" w:rsidRPr="001C3397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ss </w:t>
      </w:r>
      <w:r w:rsidR="001C3397" w:rsidRPr="001C339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II</w:t>
      </w:r>
      <w:r w:rsidR="00125F54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drug with pH-dependent solubility. This study aimed to develop a supersaturated self-nanoemulsifying drug delivery </w:t>
      </w:r>
      <w:r w:rsidR="00125F5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system (super-SNEDDS) using high-pressure homogenization (HPH) to enhance its solubility and dissolution.</w:t>
      </w:r>
    </w:p>
    <w:p w14:paraId="15D93483" w14:textId="77777777" w:rsidR="00C315D2" w:rsidRPr="00B34BCA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7AB78F7" w14:textId="7E79FC3E" w:rsidR="00F86064" w:rsidRPr="00B34BCA" w:rsidRDefault="00C315D2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</w:pPr>
      <w:r w:rsidRPr="00B34BC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B34BC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Based on solubility evaluations in various excipients, </w:t>
      </w:r>
      <w:proofErr w:type="spellStart"/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Capmul</w:t>
      </w:r>
      <w:proofErr w:type="spellEnd"/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MCM C8 and </w:t>
      </w:r>
      <w:proofErr w:type="spellStart"/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Capryol</w:t>
      </w:r>
      <w:proofErr w:type="spellEnd"/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90 were selected as oil phases, and </w:t>
      </w:r>
      <w:proofErr w:type="spellStart"/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Kolliphor</w:t>
      </w:r>
      <w:proofErr w:type="spellEnd"/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HS15 and TPGS as surfactants. ENT was loaded into the oils at 25% (w/w) to prepare HPH-treated oil suspensions, which were mixed with surfactant solutions</w:t>
      </w:r>
      <w:r w:rsidR="00E10B53">
        <w:rPr>
          <w:rFonts w:ascii="Arial" w:eastAsia="맑은 고딕" w:hAnsi="Arial" w:cs="Arial" w:hint="eastAsia"/>
          <w:bCs/>
          <w:kern w:val="0"/>
          <w:sz w:val="20"/>
          <w:szCs w:val="20"/>
          <w:lang w:eastAsia="ko-KR"/>
          <w14:ligatures w14:val="none"/>
        </w:rPr>
        <w:t xml:space="preserve"> saturated with ENT</w:t>
      </w:r>
      <w:r w:rsidR="00F86064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 xml:space="preserve"> and centrifuged </w:t>
      </w:r>
      <w:r w:rsidR="006B5676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to obtain the solubilized phase. PVP K17, selected based on its solubility in both phases, was incorporated as a precipitation inhibitor (PPI). The formulations were evaluated for particle size, drug loading, precipitation inhibition, and dissolution under different pH conditions including pH shift</w:t>
      </w:r>
      <w:r w:rsidR="00BF43AF">
        <w:rPr>
          <w:rFonts w:ascii="Arial" w:eastAsia="맑은 고딕" w:hAnsi="Arial" w:cs="Arial" w:hint="eastAsia"/>
          <w:bCs/>
          <w:kern w:val="0"/>
          <w:sz w:val="20"/>
          <w:szCs w:val="20"/>
          <w:lang w:eastAsia="ko-KR"/>
          <w14:ligatures w14:val="none"/>
        </w:rPr>
        <w:t xml:space="preserve"> condition</w:t>
      </w:r>
      <w:r w:rsidR="006B5676" w:rsidRPr="00B34BCA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.</w:t>
      </w:r>
    </w:p>
    <w:p w14:paraId="1387B9C3" w14:textId="77777777" w:rsidR="00C315D2" w:rsidRPr="00B34BCA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en-GB"/>
          <w14:ligatures w14:val="none"/>
        </w:rPr>
      </w:pPr>
    </w:p>
    <w:p w14:paraId="37683296" w14:textId="0EAAD2C4" w:rsidR="00C315D2" w:rsidRPr="00D6093A" w:rsidRDefault="00795378" w:rsidP="00C315D2">
      <w:pPr>
        <w:spacing w:after="0" w:line="240" w:lineRule="auto"/>
        <w:jc w:val="both"/>
        <w:rPr>
          <w:rFonts w:ascii="Arial" w:eastAsia="맑은 고딕" w:hAnsi="Arial" w:cs="Arial"/>
          <w:kern w:val="0"/>
          <w:sz w:val="20"/>
          <w:szCs w:val="20"/>
          <w:lang w:val="en-US" w:eastAsia="ko-KR"/>
          <w14:ligatures w14:val="none"/>
        </w:rPr>
      </w:pPr>
      <w:r w:rsidRPr="00B34BC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B34BCA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="0008708E" w:rsidRPr="00B34BCA">
        <w:rPr>
          <w:rFonts w:ascii="Arial" w:eastAsia="맑은 고딕" w:hAnsi="Arial" w:cs="Arial"/>
          <w:kern w:val="0"/>
          <w:sz w:val="20"/>
          <w:szCs w:val="20"/>
          <w:lang w:val="en-US" w:eastAsia="ko-KR"/>
          <w14:ligatures w14:val="none"/>
        </w:rPr>
        <w:t>FL2</w:t>
      </w:r>
      <w:r w:rsidR="0008708E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, composed of </w:t>
      </w:r>
      <w:proofErr w:type="spellStart"/>
      <w:r w:rsidR="0008708E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Capmul</w:t>
      </w:r>
      <w:proofErr w:type="spellEnd"/>
      <w:r w:rsidR="0008708E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MCM C8 and </w:t>
      </w:r>
      <w:proofErr w:type="spellStart"/>
      <w:r w:rsidR="0008708E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Kolliphor</w:t>
      </w:r>
      <w:proofErr w:type="spellEnd"/>
      <w:r w:rsidR="0008708E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HS15 </w:t>
      </w:r>
      <w:r w:rsidR="00B34BCA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in a 2/8 ratio (w/w), showed a particle size of 16.3 ±</w:t>
      </w:r>
      <w:r w:rsidR="00D6093A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 0.6 nm and a high solubilized drug loading (%, w/w) of 10.49 </w:t>
      </w:r>
      <w:r w:rsidR="00D6093A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±</w:t>
      </w:r>
      <w:r w:rsidR="00D6093A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 0.06. FLP</w:t>
      </w:r>
      <w:r w:rsidR="006656AB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>2</w:t>
      </w:r>
      <w:r w:rsidR="00D6093A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, prepared by adding 3% (w/w) PVP K17 to FL2, exhibited a particle size of 16.6 </w:t>
      </w:r>
      <w:r w:rsidR="00D6093A" w:rsidRPr="00B34BC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±</w:t>
      </w:r>
      <w:r w:rsidR="00D6093A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 0.6 nm and improved physical stability. In dissolution </w:t>
      </w:r>
      <w:r w:rsidR="00D6093A"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  <w:t>testin</w:t>
      </w:r>
      <w:r w:rsidR="00D6093A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>g, both formulations achieved a dissolution rate of over 95% within 10 min under pH 1.2 and 6.8. In the pH shift dissolution test (from pH 1.2 to 6.8), the dissolution rate of FL2 decreased to approximately 90% after the pH shift. In contrast, FLP</w:t>
      </w:r>
      <w:r w:rsidR="006656AB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>2</w:t>
      </w:r>
      <w:r w:rsidR="00553732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, which contained the PPI, showed a temporary decrease but subsequently recovered to over 95% within 5 min, demonstrating enhanced precipitation inhibition and maintained </w:t>
      </w:r>
      <w:r w:rsidR="00DC7296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of </w:t>
      </w:r>
      <w:r w:rsidR="00553732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>supersaturation.</w:t>
      </w:r>
    </w:p>
    <w:p w14:paraId="1B6E8C58" w14:textId="77777777" w:rsidR="00125F54" w:rsidRPr="00B34BCA" w:rsidRDefault="00125F54" w:rsidP="00C315D2">
      <w:pPr>
        <w:spacing w:after="0" w:line="240" w:lineRule="auto"/>
        <w:jc w:val="both"/>
        <w:rPr>
          <w:rFonts w:ascii="Arial" w:eastAsia="맑은 고딕" w:hAnsi="Arial" w:cs="Arial"/>
          <w:kern w:val="0"/>
          <w:sz w:val="20"/>
          <w:szCs w:val="20"/>
          <w:lang w:val="en-US" w:eastAsia="ko-KR"/>
          <w14:ligatures w14:val="none"/>
        </w:rPr>
      </w:pPr>
    </w:p>
    <w:p w14:paraId="65E846CD" w14:textId="0B020F2A" w:rsidR="00C315D2" w:rsidRDefault="00B8473A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  <w:r w:rsidRPr="00B34BC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B34BC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B34BC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553732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The HPH-treated super-SNEDDS enhanced the solubility and dissolution of ENT and maintained supersaturation under varying </w:t>
      </w:r>
      <w:proofErr w:type="spellStart"/>
      <w:r w:rsidR="00553732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>pH.</w:t>
      </w:r>
      <w:proofErr w:type="spellEnd"/>
      <w:r w:rsidR="00553732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 These findings suggest that the super-SNEDDS</w:t>
      </w:r>
      <w:r w:rsidR="00C642BD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 is</w:t>
      </w:r>
      <w:r w:rsidR="00553732">
        <w:rPr>
          <w:rFonts w:ascii="Arial" w:eastAsia="맑은 고딕" w:hAnsi="Arial" w:cs="Arial" w:hint="eastAsia"/>
          <w:bCs/>
          <w:kern w:val="0"/>
          <w:sz w:val="20"/>
          <w:szCs w:val="20"/>
          <w:lang w:val="en-US" w:eastAsia="ko-KR"/>
          <w14:ligatures w14:val="none"/>
        </w:rPr>
        <w:t xml:space="preserve"> a promising oral delivery system for poorly water-soluble drugs with pH-dependent solubility.</w:t>
      </w:r>
    </w:p>
    <w:p w14:paraId="4F6A0076" w14:textId="77777777" w:rsidR="00A26A6B" w:rsidRDefault="00A26A6B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</w:p>
    <w:p w14:paraId="195BBCEC" w14:textId="75DC4539" w:rsidR="00A26A6B" w:rsidRPr="00A26A6B" w:rsidRDefault="00A26A6B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  <w:bookmarkStart w:id="0" w:name="_Hlk198901337"/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</w:t>
      </w:r>
      <w:r>
        <w:rPr>
          <w:rFonts w:ascii="Arial" w:eastAsia="맑은 고딕" w:hAnsi="Arial" w:cs="Calibri"/>
          <w:b/>
          <w:kern w:val="0"/>
          <w:sz w:val="20"/>
          <w:szCs w:val="20"/>
          <w:lang w:val="en-US" w:eastAsia="ko-KR"/>
          <w14:ligatures w14:val="none"/>
        </w:rPr>
        <w:t>.</w:t>
      </w:r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="003F0B90" w:rsidRPr="003F0B90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This research was supported by the Basic Science Research Program through the National Research Foundation of Korea (NRF) funded by the Ministry of Science, ICT &amp; Future Planning (Grant number: NRF-2022R1A2C1003070).</w:t>
      </w:r>
    </w:p>
    <w:bookmarkEnd w:id="0"/>
    <w:p w14:paraId="1AF10CAD" w14:textId="77777777" w:rsidR="00C315D2" w:rsidRPr="00553732" w:rsidRDefault="00C315D2" w:rsidP="00C315D2">
      <w:pPr>
        <w:spacing w:after="0" w:line="240" w:lineRule="auto"/>
        <w:jc w:val="both"/>
        <w:rPr>
          <w:rFonts w:ascii="Arial" w:eastAsia="맑은 고딕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2C801966" w14:textId="72691766" w:rsidR="00C315D2" w:rsidRPr="00232B05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232B05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References:</w:t>
      </w:r>
      <w:r w:rsidRPr="00232B05"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72C90198" w14:textId="70084166" w:rsidR="00232B05" w:rsidRDefault="00232B05" w:rsidP="00232B05">
      <w:pPr>
        <w:spacing w:after="0" w:line="240" w:lineRule="auto"/>
        <w:jc w:val="both"/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(1) </w:t>
      </w:r>
      <w:proofErr w:type="spellStart"/>
      <w:r w:rsidR="00F1447C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Rolfo</w:t>
      </w:r>
      <w:proofErr w:type="spellEnd"/>
      <w:r w:rsidR="00F1447C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, C. et al (2015) </w:t>
      </w:r>
      <w:r w:rsidR="00F1447C" w:rsidRPr="00F1447C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Expert opinion on investigational drugs</w:t>
      </w:r>
      <w:r w:rsidR="002B293B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24</w:t>
      </w:r>
      <w:r w:rsidR="00C3756E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(11)</w:t>
      </w:r>
      <w:r w:rsidR="002B293B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:1493-1500</w:t>
      </w:r>
    </w:p>
    <w:p w14:paraId="441AA802" w14:textId="07FB0ECD" w:rsidR="00D308D2" w:rsidRDefault="00D308D2" w:rsidP="00232B05">
      <w:pPr>
        <w:spacing w:after="0" w:line="240" w:lineRule="auto"/>
        <w:jc w:val="both"/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(2) </w:t>
      </w:r>
      <w:r w:rsidRPr="00D308D2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González-Sales, M</w:t>
      </w: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. et al (2021) </w:t>
      </w:r>
      <w:r w:rsidRPr="00D308D2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Cancer Chemotherapy and Pharmacology</w:t>
      </w: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88:997-1007</w:t>
      </w:r>
    </w:p>
    <w:p w14:paraId="560A983D" w14:textId="01770A11" w:rsidR="009D2385" w:rsidRDefault="009D2385" w:rsidP="00232B05">
      <w:pPr>
        <w:spacing w:after="0" w:line="240" w:lineRule="auto"/>
        <w:jc w:val="both"/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(3) Tran, P. et al (2021) </w:t>
      </w:r>
      <w:r w:rsidRPr="009D2385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Journal of Pharmaceutical Investigation</w:t>
      </w: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51:439-463</w:t>
      </w:r>
    </w:p>
    <w:p w14:paraId="11AF40CB" w14:textId="05608CAF" w:rsidR="00B00E45" w:rsidRDefault="00B00E45" w:rsidP="00232B05">
      <w:pPr>
        <w:spacing w:after="0" w:line="240" w:lineRule="auto"/>
        <w:jc w:val="both"/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(4)</w:t>
      </w:r>
      <w:r w:rsidR="00BD336E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Park, H. et al (2020) </w:t>
      </w:r>
      <w:r w:rsidR="00BD336E" w:rsidRPr="00BD336E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Pharmaceutics</w:t>
      </w:r>
      <w:r w:rsidR="00BD336E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12</w:t>
      </w:r>
      <w:r w:rsidR="002D7ECB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(4)</w:t>
      </w:r>
      <w:r w:rsidR="00BD336E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:365</w:t>
      </w:r>
    </w:p>
    <w:p w14:paraId="0B21C464" w14:textId="6709CCF5" w:rsidR="00BD336E" w:rsidRDefault="00BD336E" w:rsidP="00232B05">
      <w:pPr>
        <w:spacing w:after="0" w:line="240" w:lineRule="auto"/>
        <w:jc w:val="both"/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(5) Yadav, K. S. et al (2020) </w:t>
      </w:r>
      <w:r w:rsidRPr="00BD336E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Journal of Pharmaceutical Innovation</w:t>
      </w: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15:690-701</w:t>
      </w:r>
    </w:p>
    <w:p w14:paraId="2E03EA55" w14:textId="0E416D65" w:rsidR="00BD336E" w:rsidRPr="009D2385" w:rsidRDefault="00BD336E" w:rsidP="00232B05">
      <w:pPr>
        <w:spacing w:after="0" w:line="240" w:lineRule="auto"/>
        <w:jc w:val="both"/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(6) Xu, S. et al (2013) </w:t>
      </w:r>
      <w:r w:rsidRPr="00BD336E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International journal of pharmaceutics</w:t>
      </w: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453</w:t>
      </w:r>
      <w:r w:rsidR="0019478E"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(1)</w:t>
      </w:r>
      <w:r>
        <w:rPr>
          <w:rFonts w:ascii="Arial" w:eastAsia="맑은 고딕" w:hAnsi="Arial" w:cs="Arial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:36-43</w:t>
      </w:r>
    </w:p>
    <w:sectPr w:rsidR="00BD336E" w:rsidRPr="009D2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A748" w14:textId="77777777" w:rsidR="00407823" w:rsidRDefault="00407823" w:rsidP="00B02CD7">
      <w:pPr>
        <w:spacing w:after="0" w:line="240" w:lineRule="auto"/>
      </w:pPr>
      <w:r>
        <w:separator/>
      </w:r>
    </w:p>
  </w:endnote>
  <w:endnote w:type="continuationSeparator" w:id="0">
    <w:p w14:paraId="7226C1DB" w14:textId="77777777" w:rsidR="00407823" w:rsidRDefault="00407823" w:rsidP="00B0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393E" w14:textId="77777777" w:rsidR="00407823" w:rsidRDefault="00407823" w:rsidP="00B02CD7">
      <w:pPr>
        <w:spacing w:after="0" w:line="240" w:lineRule="auto"/>
      </w:pPr>
      <w:r>
        <w:separator/>
      </w:r>
    </w:p>
  </w:footnote>
  <w:footnote w:type="continuationSeparator" w:id="0">
    <w:p w14:paraId="4D69935A" w14:textId="77777777" w:rsidR="00407823" w:rsidRDefault="00407823" w:rsidP="00B0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674CD"/>
    <w:rsid w:val="000835F3"/>
    <w:rsid w:val="0008708E"/>
    <w:rsid w:val="00107368"/>
    <w:rsid w:val="00113BB7"/>
    <w:rsid w:val="00125F54"/>
    <w:rsid w:val="0019478E"/>
    <w:rsid w:val="001C3397"/>
    <w:rsid w:val="002017E6"/>
    <w:rsid w:val="00232B05"/>
    <w:rsid w:val="00294059"/>
    <w:rsid w:val="002A3C4D"/>
    <w:rsid w:val="002B293B"/>
    <w:rsid w:val="002D7ECB"/>
    <w:rsid w:val="003206E4"/>
    <w:rsid w:val="00350F2D"/>
    <w:rsid w:val="003A6D5C"/>
    <w:rsid w:val="003F0B90"/>
    <w:rsid w:val="00407823"/>
    <w:rsid w:val="004A51B6"/>
    <w:rsid w:val="004F5161"/>
    <w:rsid w:val="00510CF8"/>
    <w:rsid w:val="00542C13"/>
    <w:rsid w:val="00552A0D"/>
    <w:rsid w:val="00553732"/>
    <w:rsid w:val="00575A29"/>
    <w:rsid w:val="00601754"/>
    <w:rsid w:val="00620875"/>
    <w:rsid w:val="006656AB"/>
    <w:rsid w:val="006A34BE"/>
    <w:rsid w:val="006B5676"/>
    <w:rsid w:val="006F3F1C"/>
    <w:rsid w:val="007141F2"/>
    <w:rsid w:val="007561D8"/>
    <w:rsid w:val="00760683"/>
    <w:rsid w:val="00795378"/>
    <w:rsid w:val="00796206"/>
    <w:rsid w:val="007B6A26"/>
    <w:rsid w:val="007C367E"/>
    <w:rsid w:val="008071C5"/>
    <w:rsid w:val="008E6193"/>
    <w:rsid w:val="00906D34"/>
    <w:rsid w:val="0092073B"/>
    <w:rsid w:val="009237C4"/>
    <w:rsid w:val="00933DC9"/>
    <w:rsid w:val="00936D4C"/>
    <w:rsid w:val="0095098E"/>
    <w:rsid w:val="009523F9"/>
    <w:rsid w:val="009650DF"/>
    <w:rsid w:val="00991373"/>
    <w:rsid w:val="009B1CBB"/>
    <w:rsid w:val="009C6A46"/>
    <w:rsid w:val="009D2385"/>
    <w:rsid w:val="00A0516D"/>
    <w:rsid w:val="00A26A6B"/>
    <w:rsid w:val="00A46D6B"/>
    <w:rsid w:val="00A76888"/>
    <w:rsid w:val="00A861E8"/>
    <w:rsid w:val="00AA322F"/>
    <w:rsid w:val="00B00E45"/>
    <w:rsid w:val="00B02CD7"/>
    <w:rsid w:val="00B34BCA"/>
    <w:rsid w:val="00B4721D"/>
    <w:rsid w:val="00B8473A"/>
    <w:rsid w:val="00BD336E"/>
    <w:rsid w:val="00BF43AF"/>
    <w:rsid w:val="00C21815"/>
    <w:rsid w:val="00C315D2"/>
    <w:rsid w:val="00C353D8"/>
    <w:rsid w:val="00C3756E"/>
    <w:rsid w:val="00C642BD"/>
    <w:rsid w:val="00CF5A91"/>
    <w:rsid w:val="00D02BB1"/>
    <w:rsid w:val="00D308D2"/>
    <w:rsid w:val="00D45A74"/>
    <w:rsid w:val="00D6093A"/>
    <w:rsid w:val="00D7428F"/>
    <w:rsid w:val="00DC47AD"/>
    <w:rsid w:val="00DC7296"/>
    <w:rsid w:val="00E10B53"/>
    <w:rsid w:val="00E6453B"/>
    <w:rsid w:val="00EC126A"/>
    <w:rsid w:val="00EC3746"/>
    <w:rsid w:val="00F1447C"/>
    <w:rsid w:val="00F50ADF"/>
    <w:rsid w:val="00F51515"/>
    <w:rsid w:val="00F539FB"/>
    <w:rsid w:val="00F82EAD"/>
    <w:rsid w:val="00F85528"/>
    <w:rsid w:val="00F86064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02C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2CD7"/>
  </w:style>
  <w:style w:type="paragraph" w:styleId="ab">
    <w:name w:val="footer"/>
    <w:basedOn w:val="a"/>
    <w:link w:val="Char4"/>
    <w:uiPriority w:val="99"/>
    <w:unhideWhenUsed/>
    <w:rsid w:val="00B02C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0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박성모</cp:lastModifiedBy>
  <cp:revision>40</cp:revision>
  <dcterms:created xsi:type="dcterms:W3CDTF">2025-03-11T02:17:00Z</dcterms:created>
  <dcterms:modified xsi:type="dcterms:W3CDTF">2025-05-26T00:03:00Z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