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B22A5" w14:textId="5AF4071A" w:rsidR="00181853" w:rsidRPr="00E667B4" w:rsidRDefault="00000000">
      <w:pPr>
        <w:spacing w:before="100" w:beforeAutospacing="1" w:after="100" w:afterAutospacing="1" w:line="240" w:lineRule="auto"/>
        <w:outlineLvl w:val="5"/>
        <w:rPr>
          <w:b/>
          <w:sz w:val="20"/>
          <w:szCs w:val="20"/>
          <w:lang w:val="en-US"/>
        </w:rPr>
      </w:pPr>
      <w:r w:rsidRPr="00E667B4">
        <w:rPr>
          <w:b/>
          <w:sz w:val="20"/>
          <w:szCs w:val="20"/>
          <w:lang w:val="en-US"/>
        </w:rPr>
        <w:t>I</w:t>
      </w:r>
      <w:r w:rsidR="00F839E0" w:rsidRPr="00E667B4">
        <w:rPr>
          <w:b/>
          <w:sz w:val="20"/>
          <w:szCs w:val="20"/>
          <w:lang w:val="en-US"/>
        </w:rPr>
        <w:t>mproving chronic non-cancer pain management using sex- and gender-specific approaches</w:t>
      </w:r>
    </w:p>
    <w:p w14:paraId="6C72838C" w14:textId="77777777" w:rsidR="00E62EA9" w:rsidRDefault="00000000" w:rsidP="00E62EA9">
      <w:pPr>
        <w:spacing w:before="100" w:beforeAutospacing="1" w:after="100" w:afterAutospacing="1" w:line="240" w:lineRule="auto"/>
        <w:outlineLvl w:val="5"/>
        <w:rPr>
          <w:rFonts w:ascii="Calibri" w:hAnsi="Calibri" w:cs="Calibri"/>
          <w:sz w:val="20"/>
          <w:szCs w:val="20"/>
          <w:lang w:val="en-US"/>
        </w:rPr>
      </w:pPr>
      <w:r w:rsidRPr="00E667B4">
        <w:rPr>
          <w:rFonts w:eastAsia="Times New Roman" w:cs="Calibri"/>
          <w:bCs/>
          <w:sz w:val="20"/>
          <w:szCs w:val="20"/>
          <w:lang w:val="en-US" w:eastAsia="de-DE"/>
        </w:rPr>
        <w:t>Veronika Bencheva</w:t>
      </w:r>
      <w:r w:rsidRPr="00E667B4">
        <w:rPr>
          <w:rFonts w:eastAsia="Times New Roman" w:cs="Calibri"/>
          <w:bCs/>
          <w:sz w:val="20"/>
          <w:szCs w:val="20"/>
          <w:vertAlign w:val="superscript"/>
          <w:lang w:val="en-US" w:eastAsia="de-DE"/>
        </w:rPr>
        <w:t>1,2</w:t>
      </w:r>
      <w:r w:rsidRPr="00E667B4">
        <w:rPr>
          <w:rFonts w:eastAsia="Times New Roman" w:cs="Calibri"/>
          <w:bCs/>
          <w:sz w:val="20"/>
          <w:szCs w:val="20"/>
          <w:lang w:val="en-US" w:eastAsia="de-DE"/>
        </w:rPr>
        <w:t>, Jordan Preuss</w:t>
      </w:r>
      <w:r w:rsidRPr="00E667B4">
        <w:rPr>
          <w:rFonts w:eastAsia="Times New Roman" w:cs="Calibri"/>
          <w:bCs/>
          <w:sz w:val="20"/>
          <w:szCs w:val="20"/>
          <w:vertAlign w:val="superscript"/>
          <w:lang w:val="en-US" w:eastAsia="de-DE"/>
        </w:rPr>
        <w:t>1</w:t>
      </w:r>
      <w:r w:rsidRPr="00E667B4">
        <w:rPr>
          <w:rFonts w:eastAsia="Times New Roman" w:cs="Calibri"/>
          <w:bCs/>
          <w:sz w:val="20"/>
          <w:szCs w:val="20"/>
          <w:lang w:val="en-US" w:eastAsia="de-DE"/>
        </w:rPr>
        <w:t>,  Alexandra Schmidt</w:t>
      </w:r>
      <w:r w:rsidRPr="00E667B4">
        <w:rPr>
          <w:rFonts w:eastAsia="Times New Roman" w:cs="Calibri"/>
          <w:bCs/>
          <w:sz w:val="20"/>
          <w:szCs w:val="20"/>
          <w:vertAlign w:val="superscript"/>
          <w:lang w:val="en-US" w:eastAsia="de-DE"/>
        </w:rPr>
        <w:t>3</w:t>
      </w:r>
      <w:r w:rsidRPr="00E667B4">
        <w:rPr>
          <w:rFonts w:eastAsia="Times New Roman" w:cs="Calibri"/>
          <w:bCs/>
          <w:sz w:val="20"/>
          <w:szCs w:val="20"/>
          <w:lang w:val="en-US" w:eastAsia="de-DE"/>
        </w:rPr>
        <w:t>, Alexandra Piotrowski</w:t>
      </w:r>
      <w:r w:rsidRPr="00E667B4">
        <w:rPr>
          <w:rFonts w:eastAsia="Times New Roman" w:cs="Calibri"/>
          <w:bCs/>
          <w:sz w:val="20"/>
          <w:szCs w:val="20"/>
          <w:vertAlign w:val="superscript"/>
          <w:lang w:val="en-US" w:eastAsia="de-DE"/>
        </w:rPr>
        <w:t xml:space="preserve">3,4 </w:t>
      </w:r>
      <w:r w:rsidRPr="00E667B4">
        <w:rPr>
          <w:rFonts w:eastAsia="Times New Roman" w:cs="Calibri"/>
          <w:bCs/>
          <w:sz w:val="20"/>
          <w:szCs w:val="20"/>
          <w:lang w:val="en-US" w:eastAsia="de-DE"/>
        </w:rPr>
        <w:t>, Neele Kufeld</w:t>
      </w:r>
      <w:r w:rsidRPr="00E667B4">
        <w:rPr>
          <w:rFonts w:eastAsia="Times New Roman" w:cs="Calibri"/>
          <w:bCs/>
          <w:sz w:val="20"/>
          <w:szCs w:val="20"/>
          <w:vertAlign w:val="superscript"/>
          <w:lang w:val="en-US" w:eastAsia="de-DE"/>
        </w:rPr>
        <w:t>4</w:t>
      </w:r>
      <w:r w:rsidRPr="00E667B4">
        <w:rPr>
          <w:rFonts w:eastAsia="Times New Roman" w:cs="Calibri"/>
          <w:bCs/>
          <w:sz w:val="20"/>
          <w:szCs w:val="20"/>
          <w:lang w:val="en-US" w:eastAsia="de-DE"/>
        </w:rPr>
        <w:t>, Johannes Just</w:t>
      </w:r>
      <w:r w:rsidRPr="00E667B4">
        <w:rPr>
          <w:rFonts w:eastAsia="Times New Roman" w:cs="Calibri"/>
          <w:bCs/>
          <w:sz w:val="20"/>
          <w:szCs w:val="20"/>
          <w:vertAlign w:val="superscript"/>
          <w:lang w:val="en-US" w:eastAsia="de-DE"/>
        </w:rPr>
        <w:t>3,4</w:t>
      </w:r>
      <w:r w:rsidRPr="00E667B4">
        <w:rPr>
          <w:rFonts w:eastAsia="Times New Roman" w:cs="Calibri"/>
          <w:bCs/>
          <w:sz w:val="20"/>
          <w:szCs w:val="20"/>
          <w:lang w:val="en-US" w:eastAsia="de-DE"/>
        </w:rPr>
        <w:t>, Klaus Weckbecker</w:t>
      </w:r>
      <w:r w:rsidRPr="00E667B4">
        <w:rPr>
          <w:rFonts w:eastAsia="Times New Roman" w:cs="Calibri"/>
          <w:bCs/>
          <w:sz w:val="20"/>
          <w:szCs w:val="20"/>
          <w:vertAlign w:val="superscript"/>
          <w:lang w:val="en-US" w:eastAsia="de-DE"/>
        </w:rPr>
        <w:t>4</w:t>
      </w:r>
      <w:r w:rsidRPr="00E667B4">
        <w:rPr>
          <w:rFonts w:eastAsia="Times New Roman" w:cs="Calibri"/>
          <w:bCs/>
          <w:sz w:val="20"/>
          <w:szCs w:val="20"/>
          <w:lang w:val="en-US" w:eastAsia="de-DE"/>
        </w:rPr>
        <w:t>, Birgitt Wiese</w:t>
      </w:r>
      <w:r w:rsidRPr="00E667B4">
        <w:rPr>
          <w:rFonts w:eastAsia="Times New Roman" w:cs="Calibri"/>
          <w:bCs/>
          <w:sz w:val="20"/>
          <w:szCs w:val="20"/>
          <w:vertAlign w:val="superscript"/>
          <w:lang w:val="en-US" w:eastAsia="de-DE"/>
        </w:rPr>
        <w:t>5</w:t>
      </w:r>
      <w:r w:rsidRPr="00E667B4">
        <w:rPr>
          <w:rFonts w:eastAsia="Times New Roman" w:cs="Calibri"/>
          <w:bCs/>
          <w:sz w:val="20"/>
          <w:szCs w:val="20"/>
          <w:lang w:val="en-US" w:eastAsia="de-DE"/>
        </w:rPr>
        <w:t>, Christine Kersting</w:t>
      </w:r>
      <w:r w:rsidRPr="00E667B4">
        <w:rPr>
          <w:rFonts w:eastAsia="Times New Roman" w:cs="Calibri"/>
          <w:bCs/>
          <w:sz w:val="20"/>
          <w:szCs w:val="20"/>
          <w:vertAlign w:val="superscript"/>
          <w:lang w:val="en-US" w:eastAsia="de-DE"/>
        </w:rPr>
        <w:t>3</w:t>
      </w:r>
      <w:r w:rsidRPr="00E667B4">
        <w:rPr>
          <w:rFonts w:eastAsia="Times New Roman" w:cs="Calibri"/>
          <w:bCs/>
          <w:sz w:val="20"/>
          <w:szCs w:val="20"/>
          <w:lang w:val="en-US" w:eastAsia="de-DE"/>
        </w:rPr>
        <w:t>, Achim Mortsiefer</w:t>
      </w:r>
      <w:r w:rsidRPr="00E667B4">
        <w:rPr>
          <w:rFonts w:eastAsia="Times New Roman" w:cs="Calibri"/>
          <w:bCs/>
          <w:sz w:val="20"/>
          <w:szCs w:val="20"/>
          <w:vertAlign w:val="superscript"/>
          <w:lang w:val="en-US" w:eastAsia="de-DE"/>
        </w:rPr>
        <w:t>3</w:t>
      </w:r>
      <w:r w:rsidRPr="00E667B4">
        <w:rPr>
          <w:rFonts w:eastAsia="Times New Roman" w:cs="Calibri"/>
          <w:bCs/>
          <w:sz w:val="20"/>
          <w:szCs w:val="20"/>
          <w:lang w:val="en-US" w:eastAsia="de-DE"/>
        </w:rPr>
        <w:t>, Petra Thürmann</w:t>
      </w:r>
      <w:r w:rsidRPr="00E667B4">
        <w:rPr>
          <w:rFonts w:eastAsia="Times New Roman" w:cs="Calibri"/>
          <w:bCs/>
          <w:sz w:val="20"/>
          <w:szCs w:val="20"/>
          <w:vertAlign w:val="superscript"/>
          <w:lang w:val="en-US" w:eastAsia="de-DE"/>
        </w:rPr>
        <w:t>1,6</w:t>
      </w:r>
      <w:r w:rsidRPr="00E667B4">
        <w:rPr>
          <w:rFonts w:eastAsia="Times New Roman" w:cs="Calibri"/>
          <w:bCs/>
          <w:sz w:val="20"/>
          <w:szCs w:val="20"/>
          <w:lang w:val="en-US" w:eastAsia="de-DE"/>
        </w:rPr>
        <w:t>,</w:t>
      </w:r>
      <w:r w:rsidR="00E62EA9">
        <w:rPr>
          <w:rFonts w:eastAsia="Times New Roman" w:cs="Calibri"/>
          <w:bCs/>
          <w:sz w:val="20"/>
          <w:szCs w:val="20"/>
          <w:lang w:val="en-US" w:eastAsia="de-DE"/>
        </w:rPr>
        <w:t xml:space="preserve"> </w:t>
      </w:r>
      <w:r w:rsidR="00E62EA9" w:rsidRPr="00E62EA9">
        <w:rPr>
          <w:rFonts w:eastAsia="Times New Roman" w:cs="Calibri"/>
          <w:bCs/>
          <w:sz w:val="20"/>
          <w:szCs w:val="20"/>
          <w:vertAlign w:val="superscript"/>
          <w:lang w:val="en-US" w:eastAsia="de-DE"/>
        </w:rPr>
        <w:t>1</w:t>
      </w:r>
      <w:r w:rsidRPr="00E667B4">
        <w:rPr>
          <w:rFonts w:ascii="Calibri" w:hAnsi="Calibri" w:cs="Calibri"/>
          <w:sz w:val="20"/>
          <w:szCs w:val="20"/>
          <w:lang w:val="en-US"/>
        </w:rPr>
        <w:t>Chair of Clinical Pharmacology, Faculty of Health, Witten/</w:t>
      </w:r>
      <w:proofErr w:type="spellStart"/>
      <w:r w:rsidRPr="00E667B4">
        <w:rPr>
          <w:rFonts w:ascii="Calibri" w:hAnsi="Calibri" w:cs="Calibri"/>
          <w:sz w:val="20"/>
          <w:szCs w:val="20"/>
          <w:lang w:val="en-US"/>
        </w:rPr>
        <w:t>Herdecke</w:t>
      </w:r>
      <w:proofErr w:type="spellEnd"/>
      <w:r w:rsidRPr="00E667B4">
        <w:rPr>
          <w:rFonts w:ascii="Calibri" w:hAnsi="Calibri" w:cs="Calibri"/>
          <w:sz w:val="20"/>
          <w:szCs w:val="20"/>
          <w:lang w:val="en-US"/>
        </w:rPr>
        <w:t xml:space="preserve"> University, Witten, </w:t>
      </w:r>
      <w:r w:rsidR="00E62EA9" w:rsidRPr="00E62EA9">
        <w:rPr>
          <w:rFonts w:ascii="Calibri" w:hAnsi="Calibri" w:cs="Calibri"/>
          <w:sz w:val="20"/>
          <w:szCs w:val="20"/>
          <w:vertAlign w:val="superscript"/>
          <w:lang w:val="en-US"/>
        </w:rPr>
        <w:t>2</w:t>
      </w:r>
      <w:r w:rsidR="00F839E0" w:rsidRPr="00E667B4">
        <w:rPr>
          <w:rFonts w:ascii="Calibri" w:hAnsi="Calibri" w:cs="Calibri"/>
          <w:sz w:val="20"/>
          <w:szCs w:val="20"/>
          <w:lang w:val="en-US"/>
        </w:rPr>
        <w:t>Cent</w:t>
      </w:r>
      <w:r w:rsidR="00F839E0" w:rsidRPr="00E667B4">
        <w:rPr>
          <w:rFonts w:ascii="Calibri" w:hAnsi="Calibri" w:cs="Calibri"/>
          <w:sz w:val="20"/>
          <w:szCs w:val="20"/>
          <w:lang w:val="en-US"/>
        </w:rPr>
        <w:t>er</w:t>
      </w:r>
      <w:r w:rsidR="00F839E0" w:rsidRPr="00E667B4">
        <w:rPr>
          <w:rFonts w:ascii="Calibri" w:hAnsi="Calibri" w:cs="Calibri"/>
          <w:sz w:val="20"/>
          <w:szCs w:val="20"/>
          <w:lang w:val="en-US"/>
        </w:rPr>
        <w:t xml:space="preserve"> </w:t>
      </w:r>
      <w:r w:rsidRPr="00E667B4">
        <w:rPr>
          <w:rFonts w:ascii="Calibri" w:hAnsi="Calibri" w:cs="Calibri"/>
          <w:sz w:val="20"/>
          <w:szCs w:val="20"/>
          <w:lang w:val="en-US"/>
        </w:rPr>
        <w:t>for Clinical Trials, Faculty of Health, Witten/</w:t>
      </w:r>
      <w:proofErr w:type="spellStart"/>
      <w:r w:rsidRPr="00E667B4">
        <w:rPr>
          <w:rFonts w:ascii="Calibri" w:hAnsi="Calibri" w:cs="Calibri"/>
          <w:sz w:val="20"/>
          <w:szCs w:val="20"/>
          <w:lang w:val="en-US"/>
        </w:rPr>
        <w:t>Herdecke</w:t>
      </w:r>
      <w:proofErr w:type="spellEnd"/>
      <w:r w:rsidRPr="00E667B4">
        <w:rPr>
          <w:rFonts w:ascii="Calibri" w:hAnsi="Calibri" w:cs="Calibri"/>
          <w:sz w:val="20"/>
          <w:szCs w:val="20"/>
          <w:lang w:val="en-US"/>
        </w:rPr>
        <w:t xml:space="preserve"> University, Witten</w:t>
      </w:r>
      <w:r w:rsidR="00E62EA9">
        <w:rPr>
          <w:rFonts w:ascii="Calibri" w:hAnsi="Calibri" w:cs="Calibri"/>
          <w:sz w:val="20"/>
          <w:szCs w:val="20"/>
          <w:lang w:val="en-US"/>
        </w:rPr>
        <w:t xml:space="preserve">, </w:t>
      </w:r>
      <w:r w:rsidR="00E62EA9" w:rsidRPr="00E62EA9">
        <w:rPr>
          <w:rFonts w:ascii="Calibri" w:hAnsi="Calibri" w:cs="Calibri"/>
          <w:sz w:val="20"/>
          <w:szCs w:val="20"/>
          <w:vertAlign w:val="superscript"/>
          <w:lang w:val="en-US"/>
        </w:rPr>
        <w:t>3</w:t>
      </w:r>
      <w:r w:rsidRPr="00E667B4">
        <w:rPr>
          <w:rFonts w:ascii="Calibri" w:hAnsi="Calibri" w:cs="Calibri"/>
          <w:sz w:val="20"/>
          <w:szCs w:val="20"/>
          <w:lang w:val="en-US"/>
        </w:rPr>
        <w:t>Chair of General Practice II and Patient-</w:t>
      </w:r>
      <w:proofErr w:type="spellStart"/>
      <w:r w:rsidRPr="00E667B4">
        <w:rPr>
          <w:rFonts w:ascii="Calibri" w:hAnsi="Calibri" w:cs="Calibri"/>
          <w:sz w:val="20"/>
          <w:szCs w:val="20"/>
          <w:lang w:val="en-US"/>
        </w:rPr>
        <w:t>Centredness</w:t>
      </w:r>
      <w:proofErr w:type="spellEnd"/>
      <w:r w:rsidRPr="00E667B4">
        <w:rPr>
          <w:rFonts w:ascii="Calibri" w:hAnsi="Calibri" w:cs="Calibri"/>
          <w:sz w:val="20"/>
          <w:szCs w:val="20"/>
          <w:lang w:val="en-US"/>
        </w:rPr>
        <w:t xml:space="preserve"> in Primary Care, Institute of General Practice and Primary Care, Faculty of Health, Witten/</w:t>
      </w:r>
      <w:proofErr w:type="spellStart"/>
      <w:r w:rsidRPr="00E667B4">
        <w:rPr>
          <w:rFonts w:ascii="Calibri" w:hAnsi="Calibri" w:cs="Calibri"/>
          <w:sz w:val="20"/>
          <w:szCs w:val="20"/>
          <w:lang w:val="en-US"/>
        </w:rPr>
        <w:t>Herdecke</w:t>
      </w:r>
      <w:proofErr w:type="spellEnd"/>
      <w:r w:rsidRPr="00E667B4">
        <w:rPr>
          <w:rFonts w:ascii="Calibri" w:hAnsi="Calibri" w:cs="Calibri"/>
          <w:sz w:val="20"/>
          <w:szCs w:val="20"/>
          <w:lang w:val="en-US"/>
        </w:rPr>
        <w:t xml:space="preserve"> University, Witten,</w:t>
      </w:r>
      <w:r w:rsidR="00E62EA9">
        <w:rPr>
          <w:rFonts w:ascii="Calibri" w:hAnsi="Calibri" w:cs="Calibri"/>
          <w:sz w:val="20"/>
          <w:szCs w:val="20"/>
          <w:lang w:val="en-US"/>
        </w:rPr>
        <w:t xml:space="preserve"> </w:t>
      </w:r>
      <w:r w:rsidR="00E62EA9" w:rsidRPr="00E62EA9">
        <w:rPr>
          <w:rFonts w:ascii="Calibri" w:hAnsi="Calibri" w:cs="Calibri"/>
          <w:sz w:val="20"/>
          <w:szCs w:val="20"/>
          <w:vertAlign w:val="superscript"/>
          <w:lang w:val="en-US"/>
        </w:rPr>
        <w:t>4</w:t>
      </w:r>
      <w:r w:rsidRPr="00E667B4">
        <w:rPr>
          <w:rFonts w:ascii="Calibri" w:hAnsi="Calibri" w:cs="Calibri"/>
          <w:sz w:val="20"/>
          <w:szCs w:val="20"/>
          <w:lang w:val="en-US"/>
        </w:rPr>
        <w:t>Chair of General Practice I and Interprofessional Care, Institute of General Practice and Primary Care, Faculty of Health, Witten/</w:t>
      </w:r>
      <w:proofErr w:type="spellStart"/>
      <w:r w:rsidRPr="00E667B4">
        <w:rPr>
          <w:rFonts w:ascii="Calibri" w:hAnsi="Calibri" w:cs="Calibri"/>
          <w:sz w:val="20"/>
          <w:szCs w:val="20"/>
          <w:lang w:val="en-US"/>
        </w:rPr>
        <w:t>Herdecke</w:t>
      </w:r>
      <w:proofErr w:type="spellEnd"/>
      <w:r w:rsidRPr="00E667B4">
        <w:rPr>
          <w:rFonts w:ascii="Calibri" w:hAnsi="Calibri" w:cs="Calibri"/>
          <w:sz w:val="20"/>
          <w:szCs w:val="20"/>
          <w:lang w:val="en-US"/>
        </w:rPr>
        <w:t xml:space="preserve"> University, Witten, </w:t>
      </w:r>
      <w:r w:rsidR="00E62EA9" w:rsidRPr="00E62EA9">
        <w:rPr>
          <w:rFonts w:ascii="Calibri" w:hAnsi="Calibri" w:cs="Calibri"/>
          <w:sz w:val="20"/>
          <w:szCs w:val="20"/>
          <w:vertAlign w:val="superscript"/>
          <w:lang w:val="en-US"/>
        </w:rPr>
        <w:t>5</w:t>
      </w:r>
      <w:r w:rsidRPr="00E667B4">
        <w:rPr>
          <w:rFonts w:ascii="Calibri" w:hAnsi="Calibri" w:cs="Calibri"/>
          <w:sz w:val="20"/>
          <w:szCs w:val="20"/>
          <w:lang w:val="en-US"/>
        </w:rPr>
        <w:t xml:space="preserve">IT Services Applications, Science &amp; Laboratory, MHH Information Technology, Hannover Medical School, Hannover, </w:t>
      </w:r>
      <w:r w:rsidR="00E62EA9" w:rsidRPr="00E62EA9">
        <w:rPr>
          <w:rFonts w:ascii="Calibri" w:hAnsi="Calibri" w:cs="Calibri"/>
          <w:sz w:val="20"/>
          <w:szCs w:val="20"/>
          <w:vertAlign w:val="superscript"/>
          <w:lang w:val="en-US"/>
        </w:rPr>
        <w:t>6</w:t>
      </w:r>
      <w:r w:rsidRPr="00E667B4">
        <w:rPr>
          <w:rFonts w:ascii="Calibri" w:hAnsi="Calibri" w:cs="Calibri"/>
          <w:sz w:val="20"/>
          <w:szCs w:val="20"/>
          <w:lang w:val="en-US"/>
        </w:rPr>
        <w:t>Philipp Klee-Institute of Clinical Pharmacology, Helios University Hospital Wuppertal, Wuppertal, Germany.</w:t>
      </w:r>
    </w:p>
    <w:p w14:paraId="012F2350" w14:textId="5FF8F241" w:rsidR="009D3432" w:rsidRPr="00E667B4" w:rsidRDefault="00000000" w:rsidP="00E62EA9">
      <w:pPr>
        <w:spacing w:before="100" w:beforeAutospacing="1" w:after="100" w:afterAutospacing="1" w:line="240" w:lineRule="auto"/>
        <w:outlineLvl w:val="5"/>
        <w:rPr>
          <w:rFonts w:eastAsia="Times New Roman" w:cs="Calibri"/>
          <w:sz w:val="20"/>
          <w:szCs w:val="20"/>
          <w:lang w:val="en-US" w:eastAsia="de-DE"/>
        </w:rPr>
      </w:pPr>
      <w:r w:rsidRPr="00E667B4">
        <w:rPr>
          <w:rFonts w:eastAsia="Times New Roman" w:cs="Calibri"/>
          <w:b/>
          <w:bCs/>
          <w:sz w:val="20"/>
          <w:szCs w:val="20"/>
          <w:lang w:val="en-US" w:eastAsia="de-DE"/>
        </w:rPr>
        <w:t>Background and aims</w:t>
      </w:r>
      <w:r w:rsidR="009D3432" w:rsidRPr="00E667B4">
        <w:rPr>
          <w:rFonts w:eastAsia="Times New Roman" w:cs="Calibri"/>
          <w:b/>
          <w:bCs/>
          <w:sz w:val="20"/>
          <w:szCs w:val="20"/>
          <w:lang w:val="en-US" w:eastAsia="de-DE"/>
        </w:rPr>
        <w:t xml:space="preserve"> </w:t>
      </w:r>
      <w:r w:rsidRPr="00E667B4">
        <w:rPr>
          <w:rFonts w:ascii="Calibri" w:hAnsi="Calibri" w:cs="Calibri"/>
          <w:sz w:val="20"/>
          <w:szCs w:val="20"/>
          <w:lang w:val="en-US"/>
        </w:rPr>
        <w:t xml:space="preserve">Chronic non-cancer pain (CPNP) and the associated long-term opioid therapy (LTOT) constitutes a highly prevalent clinical problem worldwide with a substantial burden for society. Accumulating evidence shows that both sex and gender critically influence pain perception, expression and treatment outcomes. Addressing these issues is therefore essential to provide effective, personalized, and equitable care. </w:t>
      </w:r>
      <w:r w:rsidRPr="00E667B4">
        <w:rPr>
          <w:rFonts w:eastAsia="Times New Roman" w:cs="Calibri"/>
          <w:sz w:val="20"/>
          <w:szCs w:val="20"/>
          <w:lang w:val="en-US"/>
        </w:rPr>
        <w:t xml:space="preserve">The GESCO study (funded by the Ministry of Health, 2522FSB14A/2522FSB14B) aims to develop a sex- and gender-sensitive intervention for patients with CNCP receiving LTOT in primary care. </w:t>
      </w:r>
      <w:r w:rsidRPr="00E667B4">
        <w:rPr>
          <w:rFonts w:eastAsia="Times New Roman" w:cs="Calibri"/>
          <w:b/>
          <w:bCs/>
          <w:sz w:val="20"/>
          <w:szCs w:val="20"/>
          <w:lang w:val="en-US" w:eastAsia="de-DE"/>
        </w:rPr>
        <w:t>Methods</w:t>
      </w:r>
      <w:r w:rsidR="009D3432" w:rsidRPr="00E667B4">
        <w:rPr>
          <w:rFonts w:eastAsia="Times New Roman" w:cs="Calibri"/>
          <w:b/>
          <w:bCs/>
          <w:sz w:val="20"/>
          <w:szCs w:val="20"/>
          <w:lang w:val="en-US" w:eastAsia="de-DE"/>
        </w:rPr>
        <w:t xml:space="preserve"> </w:t>
      </w:r>
      <w:r w:rsidRPr="00E667B4">
        <w:rPr>
          <w:rFonts w:eastAsia="Times New Roman" w:cs="Calibri"/>
          <w:sz w:val="20"/>
          <w:szCs w:val="20"/>
          <w:lang w:val="en-US" w:eastAsia="de-DE"/>
        </w:rPr>
        <w:t>Phase I of the project included literature reviews, stakeholder interviews and workshops to inform intervention development. Phase II tested the intervention in a single-arm pre-post design with 38 adults with CNCP and LTOT and 8 general practitioners (GPs). The program comprised targeted in-person training for GPs and two 30-minute GP–patient consultations complemented by a qualitative process evaluation.</w:t>
      </w:r>
      <w:r w:rsidR="009D3432" w:rsidRPr="00E667B4">
        <w:rPr>
          <w:rFonts w:eastAsia="Times New Roman" w:cs="Calibri"/>
          <w:sz w:val="20"/>
          <w:szCs w:val="20"/>
          <w:lang w:val="en-US" w:eastAsia="de-DE"/>
        </w:rPr>
        <w:t xml:space="preserve"> </w:t>
      </w:r>
    </w:p>
    <w:p w14:paraId="4A7D0707" w14:textId="77777777" w:rsidR="009D3432" w:rsidRPr="00E667B4" w:rsidRDefault="00000000" w:rsidP="009D3432">
      <w:pPr>
        <w:autoSpaceDE w:val="0"/>
        <w:autoSpaceDN w:val="0"/>
        <w:adjustRightInd w:val="0"/>
        <w:spacing w:after="0" w:line="240" w:lineRule="auto"/>
        <w:rPr>
          <w:rFonts w:cs="Calibri"/>
          <w:color w:val="000000" w:themeColor="text1"/>
          <w:sz w:val="20"/>
          <w:szCs w:val="20"/>
          <w:lang w:val="en-US"/>
        </w:rPr>
      </w:pPr>
      <w:r w:rsidRPr="00E667B4">
        <w:rPr>
          <w:rFonts w:eastAsia="Times New Roman" w:cs="Calibri"/>
          <w:b/>
          <w:bCs/>
          <w:sz w:val="20"/>
          <w:szCs w:val="20"/>
          <w:lang w:val="en-US" w:eastAsia="de-DE"/>
        </w:rPr>
        <w:t>Results</w:t>
      </w:r>
      <w:r w:rsidR="009D3432" w:rsidRPr="00E667B4">
        <w:rPr>
          <w:rFonts w:eastAsia="Times New Roman" w:cs="Calibri"/>
          <w:b/>
          <w:bCs/>
          <w:sz w:val="20"/>
          <w:szCs w:val="20"/>
          <w:lang w:val="en-US" w:eastAsia="de-DE"/>
        </w:rPr>
        <w:t xml:space="preserve"> </w:t>
      </w:r>
      <w:r w:rsidRPr="00E667B4">
        <w:rPr>
          <w:rFonts w:cs="Calibri"/>
          <w:color w:val="000000" w:themeColor="text1"/>
          <w:sz w:val="20"/>
          <w:szCs w:val="20"/>
          <w:lang w:val="en-US"/>
        </w:rPr>
        <w:t>Interviews were conducted with 7 patients with CNCP and five GPs. Literature reviews focusing on sex- and gender-related differences were conducted across six modules—pharmacology, comorbidities, communication, guidelines, social systems, and chronic pain therapy. The results were consolidated into a toolbox and a comprehensive pharmacological handbook, both for incorporation into the educational sessions for GPs. Phase II has been completed.</w:t>
      </w:r>
      <w:r w:rsidR="009D3432" w:rsidRPr="00E667B4">
        <w:rPr>
          <w:rFonts w:cs="Calibri"/>
          <w:color w:val="000000" w:themeColor="text1"/>
          <w:sz w:val="20"/>
          <w:szCs w:val="20"/>
          <w:lang w:val="en-US"/>
        </w:rPr>
        <w:t xml:space="preserve"> </w:t>
      </w:r>
    </w:p>
    <w:p w14:paraId="3860AE9D" w14:textId="25C71BD4" w:rsidR="00181853" w:rsidRPr="00E667B4" w:rsidRDefault="00000000" w:rsidP="009D3432">
      <w:pPr>
        <w:autoSpaceDE w:val="0"/>
        <w:autoSpaceDN w:val="0"/>
        <w:adjustRightInd w:val="0"/>
        <w:spacing w:after="0" w:line="240" w:lineRule="auto"/>
        <w:rPr>
          <w:rFonts w:eastAsia="Times New Roman" w:cs="Calibri"/>
          <w:b/>
          <w:bCs/>
          <w:sz w:val="20"/>
          <w:szCs w:val="20"/>
          <w:lang w:val="en-US" w:eastAsia="de-DE"/>
        </w:rPr>
      </w:pPr>
      <w:r w:rsidRPr="00E667B4">
        <w:rPr>
          <w:rFonts w:eastAsia="Times New Roman" w:cs="Calibri"/>
          <w:b/>
          <w:bCs/>
          <w:sz w:val="20"/>
          <w:szCs w:val="20"/>
          <w:lang w:val="en-US" w:eastAsia="de-DE"/>
        </w:rPr>
        <w:t>Conclusions</w:t>
      </w:r>
      <w:r w:rsidR="009D3432" w:rsidRPr="00E667B4">
        <w:rPr>
          <w:rFonts w:eastAsia="Times New Roman" w:cs="Calibri"/>
          <w:b/>
          <w:bCs/>
          <w:sz w:val="20"/>
          <w:szCs w:val="20"/>
          <w:lang w:val="en-US" w:eastAsia="de-DE"/>
        </w:rPr>
        <w:t xml:space="preserve"> </w:t>
      </w:r>
      <w:r w:rsidRPr="00E667B4">
        <w:rPr>
          <w:rFonts w:eastAsia="Times New Roman" w:cs="Calibri"/>
          <w:sz w:val="20"/>
          <w:szCs w:val="20"/>
          <w:lang w:val="en-US"/>
        </w:rPr>
        <w:t>A sex- and gender-sensitive approach for patients with CNCP receiving LTOT has the potential to enhance individualized treatment. This study aims to provide preliminary evidence to inform a larger trial and to evaluate its impact on treatment outcomes and patient satisfaction.</w:t>
      </w:r>
    </w:p>
    <w:sectPr w:rsidR="00181853" w:rsidRPr="00E667B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1D6B"/>
    <w:multiLevelType w:val="multilevel"/>
    <w:tmpl w:val="ADAC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352C36"/>
    <w:multiLevelType w:val="multilevel"/>
    <w:tmpl w:val="A05C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D12327"/>
    <w:multiLevelType w:val="hybridMultilevel"/>
    <w:tmpl w:val="765635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57852561">
    <w:abstractNumId w:val="1"/>
  </w:num>
  <w:num w:numId="2" w16cid:durableId="198324541">
    <w:abstractNumId w:val="0"/>
  </w:num>
  <w:num w:numId="3" w16cid:durableId="428741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853"/>
    <w:rsid w:val="00181853"/>
    <w:rsid w:val="002B68CB"/>
    <w:rsid w:val="009D3432"/>
    <w:rsid w:val="00E62EA9"/>
    <w:rsid w:val="00E667B4"/>
    <w:rsid w:val="00F839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DA595"/>
  <w15:chartTrackingRefBased/>
  <w15:docId w15:val="{9C432691-DA50-447F-81E5-001067686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Listenabsatz">
    <w:name w:val="List Paragraph"/>
    <w:basedOn w:val="Standard"/>
    <w:uiPriority w:val="34"/>
    <w:qFormat/>
    <w:pPr>
      <w:ind w:left="720"/>
      <w:contextualSpacing/>
    </w:pPr>
  </w:style>
  <w:style w:type="paragraph" w:styleId="berarbeitung">
    <w:name w:val="Revision"/>
    <w:hidden/>
    <w:uiPriority w:val="99"/>
    <w:semiHidden/>
    <w:rsid w:val="00F839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6801">
      <w:bodyDiv w:val="1"/>
      <w:marLeft w:val="0"/>
      <w:marRight w:val="0"/>
      <w:marTop w:val="0"/>
      <w:marBottom w:val="0"/>
      <w:divBdr>
        <w:top w:val="none" w:sz="0" w:space="0" w:color="auto"/>
        <w:left w:val="none" w:sz="0" w:space="0" w:color="auto"/>
        <w:bottom w:val="none" w:sz="0" w:space="0" w:color="auto"/>
        <w:right w:val="none" w:sz="0" w:space="0" w:color="auto"/>
      </w:divBdr>
    </w:div>
    <w:div w:id="13575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2420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Universität Witten/Herdecke</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Bencheva, Veronika</dc:creator>
  <cp:keywords/>
  <dc:description/>
  <cp:lastModifiedBy>Thürmann, Petra A.</cp:lastModifiedBy>
  <cp:revision>4</cp:revision>
  <cp:lastPrinted>2025-05-22T13:14:00Z</cp:lastPrinted>
  <dcterms:created xsi:type="dcterms:W3CDTF">2025-09-15T06:41:00Z</dcterms:created>
  <dcterms:modified xsi:type="dcterms:W3CDTF">2025-09-15T06:56:00Z</dcterms:modified>
</cp:coreProperties>
</file>