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78108" w14:textId="77777777" w:rsidR="00773EFD" w:rsidRPr="00446A4A" w:rsidRDefault="00773EFD" w:rsidP="00773EFD">
      <w:pPr>
        <w:spacing w:before="0" w:beforeAutospacing="0" w:after="0" w:line="360" w:lineRule="auto"/>
        <w:jc w:val="center"/>
        <w:rPr>
          <w:rFonts w:cs="Calibri"/>
          <w:b/>
          <w:bCs/>
          <w:sz w:val="24"/>
          <w:szCs w:val="24"/>
        </w:rPr>
      </w:pPr>
      <w:r w:rsidRPr="00446A4A">
        <w:rPr>
          <w:rFonts w:cs="Calibri"/>
          <w:b/>
          <w:bCs/>
          <w:sz w:val="24"/>
          <w:szCs w:val="24"/>
        </w:rPr>
        <w:t>IFI30 reprograms glioblastoma-associated macrophage and induces immune evasion by MAFF/PTGS2 pathway</w:t>
      </w:r>
    </w:p>
    <w:p w14:paraId="674B32A3" w14:textId="3EAACD7C" w:rsidR="00773EFD" w:rsidRPr="00446A4A" w:rsidRDefault="00773EFD" w:rsidP="00773EFD">
      <w:pPr>
        <w:spacing w:before="0" w:beforeAutospacing="0" w:after="0" w:line="360" w:lineRule="auto"/>
        <w:jc w:val="both"/>
        <w:rPr>
          <w:rFonts w:cs="Calibri"/>
          <w:sz w:val="20"/>
          <w:szCs w:val="20"/>
        </w:rPr>
      </w:pPr>
      <w:r w:rsidRPr="00446A4A">
        <w:rPr>
          <w:rFonts w:cs="Calibri"/>
          <w:sz w:val="20"/>
          <w:szCs w:val="20"/>
        </w:rPr>
        <w:t>Sen Zhang</w:t>
      </w:r>
      <w:bookmarkStart w:id="0" w:name="OLE_LINK4"/>
      <w:r w:rsidRPr="00446A4A">
        <w:rPr>
          <w:rFonts w:cs="Calibri"/>
          <w:sz w:val="20"/>
          <w:szCs w:val="20"/>
          <w:vertAlign w:val="superscript"/>
        </w:rPr>
        <w:t>1</w:t>
      </w:r>
      <w:bookmarkEnd w:id="0"/>
      <w:r w:rsidRPr="00446A4A">
        <w:rPr>
          <w:rFonts w:cs="Calibri"/>
          <w:sz w:val="20"/>
          <w:szCs w:val="20"/>
        </w:rPr>
        <w:t xml:space="preserve">, </w:t>
      </w:r>
      <w:proofErr w:type="spellStart"/>
      <w:r w:rsidRPr="00446A4A">
        <w:rPr>
          <w:rFonts w:cs="Calibri"/>
          <w:sz w:val="20"/>
          <w:szCs w:val="20"/>
        </w:rPr>
        <w:t>Wenlin</w:t>
      </w:r>
      <w:proofErr w:type="spellEnd"/>
      <w:r w:rsidRPr="00446A4A">
        <w:rPr>
          <w:rFonts w:cs="Calibri"/>
          <w:sz w:val="20"/>
          <w:szCs w:val="20"/>
        </w:rPr>
        <w:t xml:space="preserve"> Chen</w:t>
      </w:r>
      <w:r w:rsidRPr="00446A4A">
        <w:rPr>
          <w:rFonts w:cs="Calibri"/>
          <w:sz w:val="20"/>
          <w:szCs w:val="20"/>
          <w:vertAlign w:val="superscript"/>
        </w:rPr>
        <w:t>2</w:t>
      </w:r>
      <w:r w:rsidRPr="00446A4A">
        <w:rPr>
          <w:rFonts w:cs="Calibri"/>
          <w:sz w:val="20"/>
          <w:szCs w:val="20"/>
        </w:rPr>
        <w:t>，</w:t>
      </w:r>
      <w:r w:rsidRPr="00446A4A">
        <w:rPr>
          <w:rFonts w:cs="Calibri"/>
          <w:sz w:val="20"/>
          <w:szCs w:val="20"/>
        </w:rPr>
        <w:t>Tengfei Ji</w:t>
      </w:r>
      <w:r w:rsidRPr="00446A4A">
        <w:rPr>
          <w:rFonts w:cs="Calibri"/>
          <w:sz w:val="20"/>
          <w:szCs w:val="20"/>
          <w:vertAlign w:val="superscript"/>
        </w:rPr>
        <w:t>1</w:t>
      </w:r>
      <w:r w:rsidRPr="00446A4A">
        <w:rPr>
          <w:rFonts w:cs="Calibri"/>
          <w:sz w:val="20"/>
          <w:szCs w:val="20"/>
        </w:rPr>
        <w:t xml:space="preserve">, </w:t>
      </w:r>
      <w:proofErr w:type="spellStart"/>
      <w:r w:rsidRPr="00446A4A">
        <w:rPr>
          <w:rFonts w:cs="Calibri"/>
          <w:sz w:val="20"/>
          <w:szCs w:val="20"/>
        </w:rPr>
        <w:t>Guanhua</w:t>
      </w:r>
      <w:proofErr w:type="spellEnd"/>
      <w:r w:rsidRPr="00446A4A">
        <w:rPr>
          <w:rFonts w:cs="Calibri"/>
          <w:sz w:val="20"/>
          <w:szCs w:val="20"/>
        </w:rPr>
        <w:t xml:space="preserve"> Du</w:t>
      </w:r>
      <w:r w:rsidRPr="00446A4A">
        <w:rPr>
          <w:rFonts w:cs="Calibri"/>
          <w:sz w:val="20"/>
          <w:szCs w:val="20"/>
          <w:vertAlign w:val="superscript"/>
        </w:rPr>
        <w:t>1</w:t>
      </w:r>
      <w:r w:rsidRPr="00446A4A">
        <w:rPr>
          <w:rFonts w:cs="Calibri"/>
          <w:sz w:val="20"/>
          <w:szCs w:val="20"/>
        </w:rPr>
        <w:t>, Wan Li</w:t>
      </w:r>
      <w:r w:rsidRPr="00446A4A">
        <w:rPr>
          <w:rFonts w:cs="Calibri"/>
          <w:sz w:val="20"/>
          <w:szCs w:val="20"/>
          <w:vertAlign w:val="superscript"/>
        </w:rPr>
        <w:t>1</w:t>
      </w:r>
      <w:r w:rsidRPr="00446A4A">
        <w:rPr>
          <w:rFonts w:cs="Calibri"/>
          <w:sz w:val="20"/>
          <w:szCs w:val="20"/>
        </w:rPr>
        <w:t>, Yu Wang</w:t>
      </w:r>
      <w:r w:rsidRPr="00446A4A">
        <w:rPr>
          <w:rFonts w:cs="Calibri"/>
          <w:sz w:val="20"/>
          <w:szCs w:val="20"/>
          <w:vertAlign w:val="superscript"/>
        </w:rPr>
        <w:t>2</w:t>
      </w:r>
      <w:r w:rsidRPr="00446A4A">
        <w:rPr>
          <w:rFonts w:cs="Calibri"/>
          <w:sz w:val="20"/>
          <w:szCs w:val="20"/>
        </w:rPr>
        <w:t>, Jinhua Wang</w:t>
      </w:r>
      <w:r w:rsidRPr="00446A4A">
        <w:rPr>
          <w:rFonts w:cs="Calibri"/>
          <w:sz w:val="20"/>
          <w:szCs w:val="20"/>
          <w:vertAlign w:val="superscript"/>
        </w:rPr>
        <w:t>1</w:t>
      </w:r>
      <w:r w:rsidRPr="00446A4A">
        <w:rPr>
          <w:rFonts w:cs="Calibri"/>
          <w:sz w:val="20"/>
          <w:szCs w:val="20"/>
        </w:rPr>
        <w:t xml:space="preserve">. </w:t>
      </w:r>
      <w:r w:rsidRPr="00446A4A">
        <w:rPr>
          <w:rFonts w:cs="Calibri"/>
          <w:sz w:val="20"/>
          <w:szCs w:val="20"/>
          <w:vertAlign w:val="superscript"/>
        </w:rPr>
        <w:t>1</w:t>
      </w:r>
      <w:r w:rsidRPr="00446A4A">
        <w:rPr>
          <w:rFonts w:cs="Calibri"/>
          <w:sz w:val="20"/>
          <w:szCs w:val="20"/>
        </w:rPr>
        <w:t xml:space="preserve"> The State Key </w:t>
      </w:r>
      <w:r w:rsidR="00795314">
        <w:rPr>
          <w:rFonts w:cs="Calibri" w:hint="eastAsia"/>
          <w:sz w:val="20"/>
          <w:szCs w:val="20"/>
        </w:rPr>
        <w:t xml:space="preserve">Department of Pharmacology, </w:t>
      </w:r>
      <w:r w:rsidR="00795314" w:rsidRPr="00795314">
        <w:rPr>
          <w:rFonts w:cs="Calibri"/>
          <w:sz w:val="20"/>
          <w:szCs w:val="20"/>
        </w:rPr>
        <w:t>Institute of Materia Medica</w:t>
      </w:r>
      <w:r w:rsidRPr="00446A4A">
        <w:rPr>
          <w:rFonts w:cs="Calibri"/>
          <w:sz w:val="20"/>
          <w:szCs w:val="20"/>
        </w:rPr>
        <w:t xml:space="preserve">, </w:t>
      </w:r>
      <w:r w:rsidR="00FD6C1F" w:rsidRPr="00FD6C1F">
        <w:rPr>
          <w:rFonts w:cs="Calibri"/>
          <w:sz w:val="20"/>
          <w:szCs w:val="20"/>
        </w:rPr>
        <w:t>Peking Union Medical College and Chinese Academy of Medical Sciences,</w:t>
      </w:r>
      <w:r w:rsidR="00FD6C1F">
        <w:rPr>
          <w:rFonts w:cs="Calibri" w:hint="eastAsia"/>
          <w:sz w:val="20"/>
          <w:szCs w:val="20"/>
        </w:rPr>
        <w:t xml:space="preserve"> </w:t>
      </w:r>
      <w:r w:rsidRPr="00446A4A">
        <w:rPr>
          <w:rFonts w:cs="Calibri"/>
          <w:sz w:val="20"/>
          <w:szCs w:val="20"/>
        </w:rPr>
        <w:t>Beijing 100050, China.</w:t>
      </w:r>
      <w:r w:rsidRPr="00446A4A">
        <w:rPr>
          <w:rFonts w:cs="Calibri"/>
          <w:sz w:val="20"/>
          <w:szCs w:val="20"/>
        </w:rPr>
        <w:t xml:space="preserve"> </w:t>
      </w:r>
      <w:r w:rsidRPr="00446A4A">
        <w:rPr>
          <w:rFonts w:cs="Calibri"/>
          <w:sz w:val="20"/>
          <w:szCs w:val="20"/>
          <w:vertAlign w:val="superscript"/>
        </w:rPr>
        <w:t>2</w:t>
      </w:r>
      <w:r w:rsidRPr="00446A4A">
        <w:rPr>
          <w:rFonts w:cs="Calibri"/>
          <w:sz w:val="20"/>
          <w:szCs w:val="20"/>
        </w:rPr>
        <w:t xml:space="preserve"> Department of Neurosurgery, Peking Union Medical College Hospital, Peking Union Medical College and Chinese Academy of Medical Sciences, Beijing 100730, China.</w:t>
      </w:r>
    </w:p>
    <w:p w14:paraId="6D1AB195" w14:textId="470BAD1F" w:rsidR="00773EFD" w:rsidRPr="004E5450" w:rsidRDefault="00773EFD" w:rsidP="00773EFD">
      <w:pPr>
        <w:jc w:val="both"/>
        <w:rPr>
          <w:rFonts w:cs="Calibri"/>
          <w:sz w:val="20"/>
          <w:szCs w:val="20"/>
          <w:lang w:val="en-AU"/>
        </w:rPr>
      </w:pPr>
      <w:r w:rsidRPr="00444224">
        <w:rPr>
          <w:rFonts w:cs="Calibri"/>
          <w:b/>
          <w:bCs/>
          <w:sz w:val="20"/>
          <w:szCs w:val="20"/>
          <w:lang w:val="en-AU"/>
        </w:rPr>
        <w:t>I</w:t>
      </w:r>
      <w:bookmarkStart w:id="1" w:name="OLE_LINK5"/>
      <w:r w:rsidRPr="00444224">
        <w:rPr>
          <w:rFonts w:cs="Calibri"/>
          <w:b/>
          <w:bCs/>
          <w:sz w:val="20"/>
          <w:szCs w:val="20"/>
          <w:lang w:val="en-AU"/>
        </w:rPr>
        <w:t>ntroduction.</w:t>
      </w:r>
      <w:r w:rsidRPr="004E5450">
        <w:rPr>
          <w:rFonts w:cs="Calibri"/>
          <w:sz w:val="20"/>
          <w:szCs w:val="20"/>
          <w:lang w:val="en-AU"/>
        </w:rPr>
        <w:t xml:space="preserve"> </w:t>
      </w:r>
      <w:r w:rsidRPr="00773EFD">
        <w:rPr>
          <w:rFonts w:cs="Calibri"/>
          <w:sz w:val="20"/>
          <w:szCs w:val="20"/>
          <w:lang w:val="en-AU"/>
        </w:rPr>
        <w:t xml:space="preserve">In recent years, immunotherapy has shown obvious advantages in treating cancers. The close interaction between cancer cells and immune cells in the </w:t>
      </w:r>
      <w:proofErr w:type="spellStart"/>
      <w:r w:rsidRPr="00773EFD">
        <w:rPr>
          <w:rFonts w:cs="Calibri"/>
          <w:sz w:val="20"/>
          <w:szCs w:val="20"/>
          <w:lang w:val="en-AU"/>
        </w:rPr>
        <w:t>tumor</w:t>
      </w:r>
      <w:proofErr w:type="spellEnd"/>
      <w:r w:rsidRPr="00773EFD">
        <w:rPr>
          <w:rFonts w:cs="Calibri"/>
          <w:sz w:val="20"/>
          <w:szCs w:val="20"/>
          <w:lang w:val="en-AU"/>
        </w:rPr>
        <w:t xml:space="preserve"> microenvironment (TME) underlies the progression of glioblastoma multiforme (GBM). However, there are no effective immune-related targets against GBM.</w:t>
      </w:r>
    </w:p>
    <w:p w14:paraId="341B8143" w14:textId="6A008D7F" w:rsidR="00773EFD" w:rsidRPr="004E5450" w:rsidRDefault="00773EFD" w:rsidP="00773EFD">
      <w:pPr>
        <w:jc w:val="both"/>
        <w:rPr>
          <w:rFonts w:cs="Calibri"/>
          <w:sz w:val="20"/>
          <w:szCs w:val="20"/>
          <w:lang w:val="en-AU"/>
        </w:rPr>
      </w:pPr>
      <w:r w:rsidRPr="00444224">
        <w:rPr>
          <w:rFonts w:cs="Calibri"/>
          <w:b/>
          <w:bCs/>
          <w:sz w:val="20"/>
          <w:szCs w:val="20"/>
          <w:lang w:val="en-AU"/>
        </w:rPr>
        <w:t>Aims</w:t>
      </w:r>
      <w:r w:rsidRPr="004E5450">
        <w:rPr>
          <w:rFonts w:cs="Calibri"/>
          <w:sz w:val="20"/>
          <w:szCs w:val="20"/>
          <w:lang w:val="en-AU"/>
        </w:rPr>
        <w:t xml:space="preserve">. </w:t>
      </w:r>
      <w:r>
        <w:rPr>
          <w:rFonts w:cs="Calibri" w:hint="eastAsia"/>
          <w:sz w:val="20"/>
          <w:szCs w:val="20"/>
          <w:lang w:val="en-AU"/>
        </w:rPr>
        <w:t>To look for the immunotherapy target for GBM</w:t>
      </w:r>
      <w:r w:rsidRPr="00EF12F3">
        <w:rPr>
          <w:rFonts w:cs="Calibri"/>
          <w:sz w:val="20"/>
          <w:szCs w:val="20"/>
          <w:lang w:val="en-AU"/>
        </w:rPr>
        <w:t>.</w:t>
      </w:r>
    </w:p>
    <w:p w14:paraId="1E3AC2FB" w14:textId="20BF8C74" w:rsidR="00773EFD" w:rsidRPr="004E5450" w:rsidRDefault="00773EFD" w:rsidP="00773EFD">
      <w:pPr>
        <w:jc w:val="both"/>
        <w:rPr>
          <w:rFonts w:cs="Calibri" w:hint="eastAsia"/>
          <w:sz w:val="20"/>
          <w:szCs w:val="20"/>
          <w:lang w:val="en-AU"/>
        </w:rPr>
      </w:pPr>
      <w:r w:rsidRPr="00444224">
        <w:rPr>
          <w:rFonts w:cs="Calibri"/>
          <w:b/>
          <w:bCs/>
          <w:sz w:val="20"/>
          <w:szCs w:val="20"/>
          <w:lang w:val="en-AU"/>
        </w:rPr>
        <w:t>Methods</w:t>
      </w:r>
      <w:r w:rsidRPr="004E5450">
        <w:rPr>
          <w:rFonts w:cs="Calibri"/>
          <w:sz w:val="20"/>
          <w:szCs w:val="20"/>
          <w:lang w:val="en-AU"/>
        </w:rPr>
        <w:t xml:space="preserve">. </w:t>
      </w:r>
      <w:r w:rsidRPr="00773EFD">
        <w:rPr>
          <w:rFonts w:cs="Calibri"/>
          <w:sz w:val="20"/>
          <w:szCs w:val="20"/>
          <w:lang w:val="en-AU"/>
        </w:rPr>
        <w:t>In silico analyses</w:t>
      </w:r>
      <w:r>
        <w:rPr>
          <w:rFonts w:cs="Calibri" w:hint="eastAsia"/>
          <w:sz w:val="20"/>
          <w:szCs w:val="20"/>
          <w:lang w:val="en-AU"/>
        </w:rPr>
        <w:t xml:space="preserve"> and Western blot were used to check expression of IFI30 in GBM cell lines and issues</w:t>
      </w:r>
      <w:r w:rsidR="00446A4A">
        <w:rPr>
          <w:rFonts w:cs="Calibri" w:hint="eastAsia"/>
          <w:sz w:val="20"/>
          <w:szCs w:val="20"/>
          <w:lang w:val="en-AU"/>
        </w:rPr>
        <w:t>;</w:t>
      </w:r>
      <w:r w:rsidR="00446A4A" w:rsidRPr="00446A4A">
        <w:t xml:space="preserve"> </w:t>
      </w:r>
      <w:r w:rsidR="00446A4A" w:rsidRPr="00446A4A">
        <w:rPr>
          <w:rFonts w:cs="Calibri"/>
          <w:sz w:val="20"/>
          <w:szCs w:val="20"/>
          <w:lang w:val="en-AU"/>
        </w:rPr>
        <w:t>Enzyme-linked immunosorbent assay (ELISA)</w:t>
      </w:r>
      <w:r w:rsidR="00446A4A">
        <w:rPr>
          <w:rFonts w:cs="Calibri" w:hint="eastAsia"/>
          <w:sz w:val="20"/>
          <w:szCs w:val="20"/>
          <w:lang w:val="en-AU"/>
        </w:rPr>
        <w:t xml:space="preserve"> was </w:t>
      </w:r>
      <w:r w:rsidR="00FF698B">
        <w:rPr>
          <w:rFonts w:cs="Calibri" w:hint="eastAsia"/>
          <w:sz w:val="20"/>
          <w:szCs w:val="20"/>
          <w:lang w:val="en-AU"/>
        </w:rPr>
        <w:t>performed</w:t>
      </w:r>
      <w:r w:rsidR="00446A4A">
        <w:rPr>
          <w:rFonts w:cs="Calibri" w:hint="eastAsia"/>
          <w:sz w:val="20"/>
          <w:szCs w:val="20"/>
          <w:lang w:val="en-AU"/>
        </w:rPr>
        <w:t xml:space="preserve"> to check </w:t>
      </w:r>
      <w:r w:rsidR="00FF698B">
        <w:rPr>
          <w:rFonts w:cs="Calibri" w:hint="eastAsia"/>
          <w:sz w:val="20"/>
          <w:szCs w:val="20"/>
          <w:lang w:val="en-AU"/>
        </w:rPr>
        <w:t xml:space="preserve">the </w:t>
      </w:r>
      <w:r w:rsidR="00446A4A">
        <w:rPr>
          <w:rFonts w:cs="Calibri" w:hint="eastAsia"/>
          <w:sz w:val="20"/>
          <w:szCs w:val="20"/>
          <w:lang w:val="en-AU"/>
        </w:rPr>
        <w:t>level of IFI30 in serum of GBM patients;</w:t>
      </w:r>
      <w:r w:rsidR="00446A4A" w:rsidRPr="00446A4A">
        <w:t xml:space="preserve"> </w:t>
      </w:r>
      <w:r w:rsidR="00446A4A" w:rsidRPr="00446A4A">
        <w:rPr>
          <w:rFonts w:cs="Calibri"/>
          <w:sz w:val="20"/>
          <w:szCs w:val="20"/>
          <w:lang w:val="en-AU"/>
        </w:rPr>
        <w:t>Chromatin immunoprecipitation-qPCR (</w:t>
      </w:r>
      <w:proofErr w:type="spellStart"/>
      <w:r w:rsidR="00446A4A" w:rsidRPr="00446A4A">
        <w:rPr>
          <w:rFonts w:cs="Calibri"/>
          <w:sz w:val="20"/>
          <w:szCs w:val="20"/>
          <w:lang w:val="en-AU"/>
        </w:rPr>
        <w:t>ChIP</w:t>
      </w:r>
      <w:proofErr w:type="spellEnd"/>
      <w:r w:rsidR="00446A4A" w:rsidRPr="00446A4A">
        <w:rPr>
          <w:rFonts w:cs="Calibri"/>
          <w:sz w:val="20"/>
          <w:szCs w:val="20"/>
          <w:lang w:val="en-AU"/>
        </w:rPr>
        <w:t>-qPCR) assay</w:t>
      </w:r>
      <w:r w:rsidR="00446A4A">
        <w:rPr>
          <w:rFonts w:cs="Calibri" w:hint="eastAsia"/>
          <w:sz w:val="20"/>
          <w:szCs w:val="20"/>
          <w:lang w:val="en-AU"/>
        </w:rPr>
        <w:t xml:space="preserve"> was </w:t>
      </w:r>
      <w:r w:rsidR="00FF698B">
        <w:rPr>
          <w:rFonts w:cs="Calibri" w:hint="eastAsia"/>
          <w:sz w:val="20"/>
          <w:szCs w:val="20"/>
          <w:lang w:val="en-AU"/>
        </w:rPr>
        <w:t>carried out</w:t>
      </w:r>
      <w:r w:rsidR="00446A4A">
        <w:rPr>
          <w:rFonts w:cs="Calibri" w:hint="eastAsia"/>
          <w:sz w:val="20"/>
          <w:szCs w:val="20"/>
          <w:lang w:val="en-AU"/>
        </w:rPr>
        <w:t xml:space="preserve"> to explore the mechanism of IFI30 expression;</w:t>
      </w:r>
      <w:r w:rsidR="00AF4858" w:rsidRPr="00AF4858">
        <w:t xml:space="preserve"> </w:t>
      </w:r>
      <w:r w:rsidR="00AF4858" w:rsidRPr="00AF4858">
        <w:rPr>
          <w:rFonts w:cs="Calibri"/>
          <w:sz w:val="20"/>
          <w:szCs w:val="20"/>
          <w:lang w:val="en-AU"/>
        </w:rPr>
        <w:t>Flow Cytometry Analysis</w:t>
      </w:r>
      <w:r w:rsidR="00AF4858">
        <w:rPr>
          <w:rFonts w:cs="Calibri" w:hint="eastAsia"/>
          <w:sz w:val="20"/>
          <w:szCs w:val="20"/>
          <w:lang w:val="en-AU"/>
        </w:rPr>
        <w:t xml:space="preserve">, </w:t>
      </w:r>
      <w:r w:rsidR="00AF4858" w:rsidRPr="00AF4858">
        <w:rPr>
          <w:rFonts w:cs="Calibri"/>
          <w:sz w:val="20"/>
          <w:szCs w:val="20"/>
          <w:lang w:val="en-AU"/>
        </w:rPr>
        <w:t>RT-qPCR</w:t>
      </w:r>
      <w:r w:rsidR="00AF4858">
        <w:rPr>
          <w:rFonts w:cs="Calibri" w:hint="eastAsia"/>
          <w:sz w:val="20"/>
          <w:szCs w:val="20"/>
          <w:lang w:val="en-AU"/>
        </w:rPr>
        <w:t xml:space="preserve"> and RNA-Seq were </w:t>
      </w:r>
      <w:r w:rsidR="00FF698B">
        <w:rPr>
          <w:rFonts w:cs="Calibri" w:hint="eastAsia"/>
          <w:sz w:val="20"/>
          <w:szCs w:val="20"/>
          <w:lang w:val="en-AU"/>
        </w:rPr>
        <w:t xml:space="preserve">done </w:t>
      </w:r>
      <w:r w:rsidR="00AF4858">
        <w:rPr>
          <w:rFonts w:cs="Calibri" w:hint="eastAsia"/>
          <w:sz w:val="20"/>
          <w:szCs w:val="20"/>
          <w:lang w:val="en-AU"/>
        </w:rPr>
        <w:t>to check mRNA or proteins</w:t>
      </w:r>
      <w:r w:rsidR="00FF698B">
        <w:rPr>
          <w:rFonts w:cs="Calibri" w:hint="eastAsia"/>
          <w:sz w:val="20"/>
          <w:szCs w:val="20"/>
          <w:lang w:val="en-AU"/>
        </w:rPr>
        <w:t xml:space="preserve"> </w:t>
      </w:r>
      <w:r w:rsidR="00FF698B" w:rsidRPr="00FF698B">
        <w:rPr>
          <w:rFonts w:cs="Calibri"/>
          <w:sz w:val="20"/>
          <w:szCs w:val="20"/>
          <w:lang w:val="en-AU"/>
        </w:rPr>
        <w:t>expression</w:t>
      </w:r>
      <w:r w:rsidR="00FF698B">
        <w:rPr>
          <w:rFonts w:cs="Calibri" w:hint="eastAsia"/>
          <w:sz w:val="20"/>
          <w:szCs w:val="20"/>
          <w:lang w:val="en-AU"/>
        </w:rPr>
        <w:t xml:space="preserve"> of genes </w:t>
      </w:r>
      <w:r w:rsidR="00FF698B">
        <w:rPr>
          <w:rFonts w:cs="Calibri"/>
          <w:sz w:val="20"/>
          <w:szCs w:val="20"/>
          <w:lang w:val="en-AU"/>
        </w:rPr>
        <w:t>associated</w:t>
      </w:r>
      <w:r w:rsidR="00FF698B">
        <w:rPr>
          <w:rFonts w:cs="Calibri" w:hint="eastAsia"/>
          <w:sz w:val="20"/>
          <w:szCs w:val="20"/>
          <w:lang w:val="en-AU"/>
        </w:rPr>
        <w:t xml:space="preserve"> with IFI30 </w:t>
      </w:r>
      <w:r w:rsidR="00AF4858">
        <w:rPr>
          <w:rFonts w:cs="Calibri" w:hint="eastAsia"/>
          <w:sz w:val="20"/>
          <w:szCs w:val="20"/>
          <w:lang w:val="en-AU"/>
        </w:rPr>
        <w:t xml:space="preserve">. Many </w:t>
      </w:r>
      <w:r w:rsidR="00CE6378">
        <w:rPr>
          <w:rFonts w:cs="Calibri" w:hint="eastAsia"/>
          <w:sz w:val="20"/>
          <w:szCs w:val="20"/>
          <w:lang w:val="en-AU"/>
        </w:rPr>
        <w:t xml:space="preserve">animal models </w:t>
      </w:r>
      <w:r w:rsidR="00CE3B8A">
        <w:rPr>
          <w:rFonts w:cs="Calibri" w:hint="eastAsia"/>
          <w:sz w:val="20"/>
          <w:szCs w:val="20"/>
          <w:lang w:val="en-AU"/>
        </w:rPr>
        <w:t xml:space="preserve">including IFI30 knock out mice </w:t>
      </w:r>
      <w:r w:rsidR="00CE6378">
        <w:rPr>
          <w:rFonts w:cs="Calibri" w:hint="eastAsia"/>
          <w:sz w:val="20"/>
          <w:szCs w:val="20"/>
          <w:lang w:val="en-AU"/>
        </w:rPr>
        <w:t xml:space="preserve">were </w:t>
      </w:r>
      <w:r w:rsidR="00FF698B">
        <w:rPr>
          <w:rFonts w:cs="Calibri" w:hint="eastAsia"/>
          <w:sz w:val="20"/>
          <w:szCs w:val="20"/>
          <w:lang w:val="en-AU"/>
        </w:rPr>
        <w:t>used</w:t>
      </w:r>
      <w:r w:rsidR="00CE6378">
        <w:rPr>
          <w:rFonts w:cs="Calibri" w:hint="eastAsia"/>
          <w:sz w:val="20"/>
          <w:szCs w:val="20"/>
          <w:lang w:val="en-AU"/>
        </w:rPr>
        <w:t xml:space="preserve"> to explore the function</w:t>
      </w:r>
      <w:r w:rsidR="00FF698B">
        <w:rPr>
          <w:rFonts w:cs="Calibri" w:hint="eastAsia"/>
          <w:sz w:val="20"/>
          <w:szCs w:val="20"/>
          <w:lang w:val="en-AU"/>
        </w:rPr>
        <w:t>al roles</w:t>
      </w:r>
      <w:r w:rsidR="00CE6378">
        <w:rPr>
          <w:rFonts w:cs="Calibri" w:hint="eastAsia"/>
          <w:sz w:val="20"/>
          <w:szCs w:val="20"/>
          <w:lang w:val="en-AU"/>
        </w:rPr>
        <w:t xml:space="preserve"> and mechanism</w:t>
      </w:r>
      <w:r w:rsidR="00FF698B">
        <w:rPr>
          <w:rFonts w:cs="Calibri" w:hint="eastAsia"/>
          <w:sz w:val="20"/>
          <w:szCs w:val="20"/>
          <w:lang w:val="en-AU"/>
        </w:rPr>
        <w:t>s</w:t>
      </w:r>
      <w:r w:rsidR="00CE6378">
        <w:rPr>
          <w:rFonts w:cs="Calibri" w:hint="eastAsia"/>
          <w:sz w:val="20"/>
          <w:szCs w:val="20"/>
          <w:lang w:val="en-AU"/>
        </w:rPr>
        <w:t xml:space="preserve"> of IFI30 in GBM.</w:t>
      </w:r>
    </w:p>
    <w:p w14:paraId="0B6EC719" w14:textId="77777777" w:rsidR="00773EFD" w:rsidRDefault="00773EFD" w:rsidP="00773EFD">
      <w:pPr>
        <w:jc w:val="both"/>
        <w:rPr>
          <w:rFonts w:cs="Calibri"/>
          <w:sz w:val="20"/>
          <w:szCs w:val="20"/>
          <w:lang w:val="en-AU"/>
        </w:rPr>
      </w:pPr>
      <w:r w:rsidRPr="00444224">
        <w:rPr>
          <w:rFonts w:cs="Calibri"/>
          <w:b/>
          <w:bCs/>
          <w:sz w:val="20"/>
          <w:szCs w:val="20"/>
          <w:lang w:val="en-AU"/>
        </w:rPr>
        <w:t>Results.</w:t>
      </w:r>
      <w:r w:rsidRPr="004E5450">
        <w:rPr>
          <w:rFonts w:cs="Calibri"/>
          <w:sz w:val="20"/>
          <w:szCs w:val="20"/>
          <w:lang w:val="en-AU"/>
        </w:rPr>
        <w:t xml:space="preserve"> </w:t>
      </w:r>
      <w:r>
        <w:rPr>
          <w:rFonts w:cs="Calibri" w:hint="eastAsia"/>
          <w:sz w:val="20"/>
          <w:szCs w:val="20"/>
          <w:lang w:val="en-AU"/>
        </w:rPr>
        <w:t>I</w:t>
      </w:r>
      <w:r w:rsidRPr="00773EFD">
        <w:rPr>
          <w:rFonts w:cs="Calibri"/>
          <w:sz w:val="20"/>
          <w:szCs w:val="20"/>
          <w:lang w:val="en-AU"/>
        </w:rPr>
        <w:t xml:space="preserve">n silico analyses and experimental data showed that Interferon Gamma Inducible Protein 30 (IFI30), modulated by histone modifications both H3K4me3 and H3K27ac, was up-regulated in GBM and had a potential role in the antitumor immune responses. In vitro and in vivo experiments further revealed that IFI30 modulated the infiltration of </w:t>
      </w:r>
      <w:proofErr w:type="spellStart"/>
      <w:r w:rsidRPr="00773EFD">
        <w:rPr>
          <w:rFonts w:cs="Calibri"/>
          <w:sz w:val="20"/>
          <w:szCs w:val="20"/>
          <w:lang w:val="en-AU"/>
        </w:rPr>
        <w:t>tumor</w:t>
      </w:r>
      <w:proofErr w:type="spellEnd"/>
      <w:r w:rsidRPr="00773EFD">
        <w:rPr>
          <w:rFonts w:cs="Calibri"/>
          <w:sz w:val="20"/>
          <w:szCs w:val="20"/>
          <w:lang w:val="en-AU"/>
        </w:rPr>
        <w:t>-associated macrophages (TAMs) and reduced the proportion of CD8+ T cells. Mechanistically, IFI30 induced PGE2 expression in GBM cells via the MAFF/PTGS2 pathway, and PGE2 bound to macrophage EP2/EP4, activating the downstream ERK1/2 and KLF4/STAT6 pathways, stimulating the infiltration of TAMs.</w:t>
      </w:r>
    </w:p>
    <w:p w14:paraId="50811D5E" w14:textId="5094FEE7" w:rsidR="00773EFD" w:rsidRDefault="00773EFD" w:rsidP="00773EFD">
      <w:pPr>
        <w:jc w:val="both"/>
        <w:rPr>
          <w:rFonts w:cs="Calibri"/>
          <w:sz w:val="20"/>
          <w:szCs w:val="20"/>
          <w:lang w:val="en-AU"/>
        </w:rPr>
      </w:pPr>
      <w:r w:rsidRPr="00444224">
        <w:rPr>
          <w:rFonts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cs="Calibri"/>
          <w:sz w:val="20"/>
          <w:szCs w:val="20"/>
          <w:lang w:val="en-AU"/>
        </w:rPr>
        <w:t xml:space="preserve"> </w:t>
      </w:r>
      <w:r w:rsidRPr="00773EFD">
        <w:rPr>
          <w:rFonts w:cs="Calibri"/>
          <w:sz w:val="20"/>
          <w:szCs w:val="20"/>
          <w:lang w:val="en-AU"/>
        </w:rPr>
        <w:t xml:space="preserve">we characterized the </w:t>
      </w:r>
      <w:r w:rsidR="002C4EDE">
        <w:rPr>
          <w:rFonts w:cs="Calibri" w:hint="eastAsia"/>
          <w:sz w:val="20"/>
          <w:szCs w:val="20"/>
          <w:lang w:val="en-AU"/>
        </w:rPr>
        <w:t xml:space="preserve">functional </w:t>
      </w:r>
      <w:r w:rsidRPr="00773EFD">
        <w:rPr>
          <w:rFonts w:cs="Calibri"/>
          <w:sz w:val="20"/>
          <w:szCs w:val="20"/>
          <w:lang w:val="en-AU"/>
        </w:rPr>
        <w:t>role</w:t>
      </w:r>
      <w:r w:rsidR="002C4EDE">
        <w:rPr>
          <w:rFonts w:cs="Calibri" w:hint="eastAsia"/>
          <w:sz w:val="20"/>
          <w:szCs w:val="20"/>
          <w:lang w:val="en-AU"/>
        </w:rPr>
        <w:t>s</w:t>
      </w:r>
      <w:r w:rsidRPr="00773EFD">
        <w:rPr>
          <w:rFonts w:cs="Calibri"/>
          <w:sz w:val="20"/>
          <w:szCs w:val="20"/>
          <w:lang w:val="en-AU"/>
        </w:rPr>
        <w:t xml:space="preserve"> and mechanisms of IFI30 in the malignant progression of GBM by regulating TAMs, highlighting that IFI30 may benefit GBM patients as a therapeutic target.</w:t>
      </w:r>
    </w:p>
    <w:bookmarkEnd w:id="1"/>
    <w:p w14:paraId="4580DD79" w14:textId="77777777" w:rsidR="000E4D4C" w:rsidRPr="00773EFD" w:rsidRDefault="000E4D4C">
      <w:pPr>
        <w:rPr>
          <w:rFonts w:hint="eastAsia"/>
        </w:rPr>
      </w:pPr>
    </w:p>
    <w:sectPr w:rsidR="000E4D4C" w:rsidRPr="00773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EFD"/>
    <w:rsid w:val="000E4D4C"/>
    <w:rsid w:val="002C4EDE"/>
    <w:rsid w:val="00385B74"/>
    <w:rsid w:val="0041644D"/>
    <w:rsid w:val="00446A4A"/>
    <w:rsid w:val="00773EFD"/>
    <w:rsid w:val="00795314"/>
    <w:rsid w:val="00AF4858"/>
    <w:rsid w:val="00CE3B8A"/>
    <w:rsid w:val="00CE6378"/>
    <w:rsid w:val="00DC71E6"/>
    <w:rsid w:val="00FB18E6"/>
    <w:rsid w:val="00FD6C1F"/>
    <w:rsid w:val="00FF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E2552"/>
  <w15:chartTrackingRefBased/>
  <w15:docId w15:val="{AAD81AD1-F99D-4380-8533-8556902F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FD"/>
    <w:pPr>
      <w:spacing w:before="100" w:beforeAutospacing="1" w:after="200" w:line="273" w:lineRule="auto"/>
    </w:pPr>
    <w:rPr>
      <w:rFonts w:ascii="Calibri" w:eastAsia="宋体" w:hAnsi="Calibri" w:cs="Times New Roman"/>
      <w:kern w:val="0"/>
      <w:sz w:val="22"/>
    </w:rPr>
  </w:style>
  <w:style w:type="paragraph" w:styleId="1">
    <w:name w:val="heading 1"/>
    <w:basedOn w:val="a"/>
    <w:next w:val="a"/>
    <w:link w:val="10"/>
    <w:uiPriority w:val="9"/>
    <w:qFormat/>
    <w:rsid w:val="00773E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E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EF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EF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EFD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EF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EF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EF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EF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3E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3E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3EF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3EFD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73EF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3E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3E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3E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3E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3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E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3E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E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3E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E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3EF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3E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3EF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73E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金华 王</dc:creator>
  <cp:keywords/>
  <dc:description/>
  <cp:lastModifiedBy>金华 王</cp:lastModifiedBy>
  <cp:revision>9</cp:revision>
  <dcterms:created xsi:type="dcterms:W3CDTF">2026-02-04T18:35:00Z</dcterms:created>
  <dcterms:modified xsi:type="dcterms:W3CDTF">2026-02-04T18:49:00Z</dcterms:modified>
</cp:coreProperties>
</file>