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0278" w14:textId="4F415693" w:rsidR="00601754" w:rsidRP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Transdermal Delivery of Captopril Using </w:t>
      </w:r>
      <w:proofErr w:type="gramStart"/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>Poly(</w:t>
      </w:r>
      <w:proofErr w:type="gramEnd"/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>vinyl alcohol)/</w:t>
      </w:r>
      <w:proofErr w:type="gramStart"/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>Poly(</w:t>
      </w:r>
      <w:proofErr w:type="gramEnd"/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>N-vinyl caprolactam)-based Hydrogel</w:t>
      </w:r>
      <w:r w:rsidR="00CA5A50">
        <w:rPr>
          <w:rFonts w:ascii="Arial" w:eastAsia="Calibri" w:hAnsi="Arial" w:cs="Arial"/>
          <w:b/>
          <w:bCs/>
          <w:kern w:val="0"/>
          <w:lang w:val="en-US"/>
          <w14:ligatures w14:val="none"/>
        </w:rPr>
        <w:t>-Forming</w:t>
      </w:r>
      <w:r w:rsidRPr="00C718D8">
        <w:rPr>
          <w:rFonts w:ascii="Arial" w:eastAsia="Calibri" w:hAnsi="Arial" w:cs="Arial"/>
          <w:b/>
          <w:bCs/>
          <w:kern w:val="0"/>
          <w:lang w:val="en-US"/>
          <w14:ligatures w14:val="none"/>
        </w:rPr>
        <w:t xml:space="preserve"> Microneedle</w:t>
      </w:r>
    </w:p>
    <w:p w14:paraId="1317146D" w14:textId="77777777" w:rsidR="00C718D8" w:rsidRPr="00C718D8" w:rsidRDefault="00C718D8" w:rsidP="5E2C5F31">
      <w:pPr>
        <w:spacing w:after="0" w:line="240" w:lineRule="auto"/>
        <w:rPr>
          <w:rFonts w:ascii="Arial" w:eastAsia="Calibri" w:hAnsi="Arial" w:cs="Arial"/>
          <w:b/>
          <w:bCs/>
          <w:kern w:val="0"/>
          <w:lang w:val="en-US"/>
          <w14:ligatures w14:val="none"/>
        </w:rPr>
      </w:pPr>
    </w:p>
    <w:p w14:paraId="355B9AC5" w14:textId="08401707" w:rsidR="00C718D8" w:rsidRPr="00C718D8" w:rsidRDefault="00C718D8" w:rsidP="4FE71DF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C718D8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Delly Ramadon</w:t>
      </w:r>
      <w:r w:rsidRPr="00C718D8">
        <w:rPr>
          <w:rFonts w:ascii="Arial" w:eastAsia="Calibri" w:hAnsi="Arial" w:cs="Arial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Pr="00C718D8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, 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Siti Fatriyah</w:t>
      </w: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Noverra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M. Nizardo</w:t>
      </w: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2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Fadlina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Chany Saputri</w:t>
      </w: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Callista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Andinie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Mulyadi</w:t>
      </w: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Hyungil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Jung</w:t>
      </w: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3</w:t>
      </w:r>
    </w:p>
    <w:p w14:paraId="6278D96C" w14:textId="53A18456" w:rsidR="00C718D8" w:rsidRPr="00C718D8" w:rsidRDefault="00C718D8" w:rsidP="00C718D8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 xml:space="preserve">1 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Faculty of Pharmacy, Universitas Indonesia, Depok, Indonesia </w:t>
      </w:r>
    </w:p>
    <w:p w14:paraId="5139E651" w14:textId="47F15627" w:rsidR="00C718D8" w:rsidRPr="00C718D8" w:rsidRDefault="00C718D8" w:rsidP="00C718D8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 xml:space="preserve">2 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Department of Chemistry, Faculty of Mathematics and Natural Sciences, Universitas Indonesia, Depok, Indonesia</w:t>
      </w:r>
    </w:p>
    <w:p w14:paraId="15BFCA04" w14:textId="37596B91" w:rsidR="00C718D8" w:rsidRPr="00C718D8" w:rsidRDefault="00C718D8" w:rsidP="00C718D8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 xml:space="preserve">3 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Department of Biotechnology, Yonsei University, Republic of Korea</w:t>
      </w:r>
    </w:p>
    <w:p w14:paraId="5E3F5876" w14:textId="77777777" w:rsidR="00C718D8" w:rsidRPr="00C718D8" w:rsidRDefault="00C718D8" w:rsidP="00C718D8">
      <w:pPr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:lang w:val="en-US"/>
          <w14:ligatures w14:val="none"/>
        </w:rPr>
      </w:pPr>
    </w:p>
    <w:p w14:paraId="2385039D" w14:textId="3103A662" w:rsidR="00C315D2" w:rsidRPr="00C718D8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Captopril (CAP) is 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commonly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used 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 treat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hypertension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but its low oral </w:t>
      </w:r>
      <w:r w:rsidR="003662F1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bioavailability and short half-life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limit its efficacy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[1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2]. One strategy </w:t>
      </w:r>
      <w:r w:rsidR="008B0A2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overcom</w:t>
      </w:r>
      <w:r w:rsidR="008B0A2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B0A2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is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problem is using transdermal hydrogel-forming microneedles (HFMN), which swell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upon hydration. Previously, HFMN was fabricated using </w:t>
      </w:r>
      <w:proofErr w:type="gramStart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poly(</w:t>
      </w:r>
      <w:proofErr w:type="gramEnd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vinyl alcohol) (PVA) and </w:t>
      </w:r>
      <w:proofErr w:type="gramStart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poly(</w:t>
      </w:r>
      <w:proofErr w:type="gramEnd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vinyl pyrrolidone)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[3]. In this research, we developed HFMN using 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PVA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proofErr w:type="gramStart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poly(</w:t>
      </w:r>
      <w:proofErr w:type="gramEnd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N-vinyl caprolactam)</w:t>
      </w:r>
      <w:r w:rsidR="00F269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F2692A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(PNVCL)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alternative transdermal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delivery of CAP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718D8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C0479A" w14:textId="0F4974E3" w:rsidR="00C315D2" w:rsidRPr="00C718D8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hydrogel film (HF) was optimized by varying crosslinking time, 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also </w:t>
      </w:r>
      <w:r w:rsidR="00F269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PNCVL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and citric acid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crosslinking agent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 concentrations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hysicochemical properties and permeability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the HF were evaluated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The most promising HF formulations were selected as HFMN materials. HFMN was fabricated using </w:t>
      </w:r>
      <w:proofErr w:type="spellStart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micromold</w:t>
      </w:r>
      <w:proofErr w:type="spellEnd"/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(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225 needles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height of 600 µm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)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Meanwhile, </w:t>
      </w:r>
      <w:r w:rsidR="0091745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CAP-loaded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film </w:t>
      </w:r>
      <w:r w:rsidR="0091745A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was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prepared using PVP and glycerol [3]. The selected HFMN were assessed</w:t>
      </w:r>
      <w:r w:rsidR="003662F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for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their morphology, mechanical strength, and insertion ability. I</w:t>
      </w:r>
      <w:r w:rsidR="00C718D8" w:rsidRPr="008A7C02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n vitro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permeation test using Franz diffusion cell</w:t>
      </w:r>
      <w:r w:rsidR="008A7C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C718D8" w:rsidRPr="008A7C02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in vivo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antihypertensive activity</w:t>
      </w:r>
      <w:r w:rsidR="00F269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were also </w:t>
      </w:r>
      <w:r w:rsidR="00F269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conducted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The analytical method for quantifying CAP was validated as per International Council for Harmonisation guidelines [4].</w:t>
      </w:r>
    </w:p>
    <w:p w14:paraId="1387B9C3" w14:textId="77777777" w:rsidR="00C315D2" w:rsidRPr="00C718D8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GB"/>
          <w14:ligatures w14:val="none"/>
        </w:rPr>
      </w:pPr>
    </w:p>
    <w:p w14:paraId="7855278A" w14:textId="101E180A" w:rsidR="0030697D" w:rsidRPr="0030697D" w:rsidRDefault="00795378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C718D8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91745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C</w:t>
      </w:r>
      <w:proofErr w:type="spellStart"/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umulative</w:t>
      </w:r>
      <w:proofErr w:type="spellEnd"/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amount of CAP permeated through the PVA/PNVCL-based HF was 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&gt;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40%. 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The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most optimum crosslinking time and citric acid concentration were 45 minutes and 1.0% w/w, respectively. Furthermore, the addition of PNVCL (10% w/w) increased the 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mechanical properties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of the HFMN. The most promising HFMN formulation for enhancing transdermal delivery of CAP</w:t>
      </w:r>
      <w:r w:rsidR="0030697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out of 6 formulations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was F3, with a cumulative amount of drug permeated of 13.59 ± 2.54 mg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(~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66.68 ± 2.78%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)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. 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The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C718D8" w:rsidRPr="008A7C02">
        <w:rPr>
          <w:rFonts w:ascii="Arial" w:eastAsia="Calibri" w:hAnsi="Arial" w:cs="Arial"/>
          <w:i/>
          <w:iCs/>
          <w:kern w:val="0"/>
          <w:sz w:val="20"/>
          <w:szCs w:val="20"/>
          <w:lang w:val="en-US"/>
          <w14:ligatures w14:val="none"/>
        </w:rPr>
        <w:t>in vivo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study confirmed that transdermal delivery of CAP using HFMN was more effective than the oral group, especially in lowering blood pressure</w:t>
      </w:r>
      <w:r w:rsidR="0091745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and </w:t>
      </w:r>
      <w:r w:rsidR="00C718D8" w:rsidRPr="00C718D8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there were no signs of redness or irritation observed on the rat skin.</w:t>
      </w:r>
    </w:p>
    <w:p w14:paraId="37683296" w14:textId="77777777" w:rsidR="00C315D2" w:rsidRPr="00C718D8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2490FE" w14:textId="1429A894" w:rsidR="00C718D8" w:rsidRDefault="00B8473A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718D8" w:rsidRPr="00C718D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We have successfully optimized and fabricated PVA/PNVCL-based HFMN for transdermal delivery of </w:t>
      </w:r>
      <w:r w:rsidR="0091745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CAP.</w:t>
      </w:r>
    </w:p>
    <w:p w14:paraId="0DC53C19" w14:textId="77777777" w:rsid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</w:p>
    <w:p w14:paraId="5D70D317" w14:textId="77777777" w:rsidR="00C718D8" w:rsidRP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hAnsi="Arial" w:cs="Arial"/>
          <w:b/>
          <w:bCs/>
          <w:sz w:val="20"/>
          <w:szCs w:val="20"/>
        </w:rPr>
        <w:t xml:space="preserve">Acknowledgment. </w:t>
      </w:r>
      <w:r w:rsidRPr="00C718D8">
        <w:rPr>
          <w:rFonts w:ascii="Arial" w:hAnsi="Arial" w:cs="Arial"/>
          <w:sz w:val="20"/>
          <w:szCs w:val="20"/>
        </w:rPr>
        <w:t>This research has been fully supported by the Research Grant funded by the Directorate of Research and Development, Universitas Indonesia, year 2024 (Hibah PUTI Q1 2024 No. NKB-172/UN2.RST/HKP.05.00/2024).</w:t>
      </w:r>
    </w:p>
    <w:p w14:paraId="717978C6" w14:textId="77777777" w:rsidR="00C718D8" w:rsidRP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</w:p>
    <w:p w14:paraId="2EDA1CDD" w14:textId="4C5EF212" w:rsidR="00C718D8" w:rsidRPr="00C718D8" w:rsidRDefault="00C315D2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C718D8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75CC4884" w14:textId="582C1979" w:rsidR="00C718D8" w:rsidRP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>1.</w:t>
      </w:r>
      <w:r w:rsidRPr="00C718D8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ab/>
        <w:t>Mohammed et al. Sci Rep. 2023.13(1):10944</w:t>
      </w:r>
    </w:p>
    <w:p w14:paraId="3906DF4C" w14:textId="77777777" w:rsidR="00C718D8" w:rsidRPr="00C718D8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2.</w:t>
      </w:r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ab/>
        <w:t xml:space="preserve">Ni et al.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Appl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Sci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. 2024. 14(19</w:t>
      </w:r>
      <w:proofErr w:type="gramStart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):</w:t>
      </w:r>
      <w:proofErr w:type="gramEnd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 xml:space="preserve"> 9092. </w:t>
      </w:r>
    </w:p>
    <w:p w14:paraId="7D6E388F" w14:textId="4635F634" w:rsidR="00113BB7" w:rsidRDefault="00C718D8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</w:pPr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3.</w:t>
      </w:r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ab/>
        <w:t xml:space="preserve">Ramadon, D. et al.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European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Polymer</w:t>
      </w:r>
      <w:proofErr w:type="spellEnd"/>
      <w:r w:rsidRPr="00C718D8"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 xml:space="preserve"> Journal. 2024. 112860.</w:t>
      </w:r>
    </w:p>
    <w:p w14:paraId="5A24B40B" w14:textId="3344D268" w:rsidR="001B1D7E" w:rsidRDefault="001B1D7E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</w:pPr>
      <w:r w:rsidRPr="0091745A">
        <w:rPr>
          <w:rFonts w:ascii="Arial" w:eastAsia="Calibri" w:hAnsi="Arial" w:cs="Arial"/>
          <w:bCs/>
          <w:kern w:val="0"/>
          <w:sz w:val="20"/>
          <w:szCs w:val="20"/>
          <w:lang w:val="en-GB"/>
          <w14:ligatures w14:val="none"/>
        </w:rPr>
        <w:t>4.</w:t>
      </w:r>
      <w:r w:rsidRPr="0091745A">
        <w:rPr>
          <w:rFonts w:ascii="Arial" w:eastAsia="Calibri" w:hAnsi="Arial" w:cs="Arial"/>
          <w:bCs/>
          <w:kern w:val="0"/>
          <w:sz w:val="20"/>
          <w:szCs w:val="20"/>
          <w:lang w:val="en-GB"/>
          <w14:ligatures w14:val="none"/>
        </w:rPr>
        <w:tab/>
        <w:t xml:space="preserve">ICH. Q2(R2): Validation of analytical procedures. </w:t>
      </w:r>
      <w:r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  <w:t>2023.</w:t>
      </w:r>
    </w:p>
    <w:p w14:paraId="2868F27B" w14:textId="77777777" w:rsidR="001B1D7E" w:rsidRPr="00C718D8" w:rsidRDefault="001B1D7E" w:rsidP="00C718D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fr-FR"/>
          <w14:ligatures w14:val="none"/>
        </w:rPr>
      </w:pPr>
    </w:p>
    <w:sectPr w:rsidR="001B1D7E" w:rsidRPr="00C71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1B1D7E"/>
    <w:rsid w:val="002017E6"/>
    <w:rsid w:val="00294059"/>
    <w:rsid w:val="0030697D"/>
    <w:rsid w:val="003206E4"/>
    <w:rsid w:val="003662F1"/>
    <w:rsid w:val="003A6D5C"/>
    <w:rsid w:val="004A51B6"/>
    <w:rsid w:val="00510CF8"/>
    <w:rsid w:val="00575A29"/>
    <w:rsid w:val="00601754"/>
    <w:rsid w:val="006A34BE"/>
    <w:rsid w:val="006F3F1C"/>
    <w:rsid w:val="00706909"/>
    <w:rsid w:val="007141F2"/>
    <w:rsid w:val="007561D8"/>
    <w:rsid w:val="007948C7"/>
    <w:rsid w:val="00795378"/>
    <w:rsid w:val="00796206"/>
    <w:rsid w:val="007C367E"/>
    <w:rsid w:val="008071C5"/>
    <w:rsid w:val="00880760"/>
    <w:rsid w:val="008A7C02"/>
    <w:rsid w:val="008B0A22"/>
    <w:rsid w:val="00906D34"/>
    <w:rsid w:val="0091745A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718D8"/>
    <w:rsid w:val="00CA5A50"/>
    <w:rsid w:val="00CF5A91"/>
    <w:rsid w:val="00D02BB1"/>
    <w:rsid w:val="00D45A74"/>
    <w:rsid w:val="00D7428F"/>
    <w:rsid w:val="00D97331"/>
    <w:rsid w:val="00EC3746"/>
    <w:rsid w:val="00F2692A"/>
    <w:rsid w:val="00F539FB"/>
    <w:rsid w:val="00F85528"/>
    <w:rsid w:val="00FE6C21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Delly Ramadon</cp:lastModifiedBy>
  <cp:revision>6</cp:revision>
  <dcterms:created xsi:type="dcterms:W3CDTF">2025-05-25T12:34:00Z</dcterms:created>
  <dcterms:modified xsi:type="dcterms:W3CDTF">2025-05-27T10:36:00Z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