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FDAB300" w14:textId="77777777" w:rsidR="001544FA" w:rsidRPr="00404A5C" w:rsidRDefault="001B39AB" w:rsidP="00404A5C">
      <w:pPr>
        <w:pStyle w:val="a"/>
        <w:snapToGrid w:val="0"/>
        <w:jc w:val="center"/>
        <w:rPr>
          <w:rFonts w:ascii="Calibri" w:hAnsi="Calibri" w:cs="Calibri"/>
          <w:sz w:val="28"/>
          <w:szCs w:val="28"/>
        </w:rPr>
      </w:pPr>
      <w:r w:rsidRPr="00404A5C">
        <w:rPr>
          <w:rFonts w:ascii="Calibri" w:hAnsi="Calibri" w:cs="Calibri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404A5C">
        <w:rPr>
          <w:rFonts w:ascii="Calibri" w:hAnsi="Calibri" w:cs="Calibri"/>
          <w:b/>
          <w:sz w:val="28"/>
          <w:szCs w:val="28"/>
        </w:rPr>
        <w:instrText>ADDIN CNKISM.UserStyle</w:instrText>
      </w:r>
      <w:r w:rsidRPr="00404A5C">
        <w:rPr>
          <w:rFonts w:ascii="Calibri" w:hAnsi="Calibri" w:cs="Calibri"/>
          <w:b/>
          <w:sz w:val="28"/>
          <w:szCs w:val="28"/>
        </w:rPr>
      </w:r>
      <w:r w:rsidRPr="00404A5C">
        <w:rPr>
          <w:rFonts w:ascii="Calibri" w:hAnsi="Calibri" w:cs="Calibri"/>
          <w:b/>
          <w:sz w:val="28"/>
          <w:szCs w:val="28"/>
        </w:rPr>
        <w:fldChar w:fldCharType="end"/>
      </w:r>
      <w:r w:rsidR="004B2E46" w:rsidRPr="00404A5C">
        <w:rPr>
          <w:rFonts w:ascii="Calibri" w:hAnsi="Calibri" w:cs="Calibri"/>
          <w:b/>
          <w:sz w:val="28"/>
          <w:szCs w:val="28"/>
        </w:rPr>
        <w:t xml:space="preserve">Towards continuous detection of cell metabolites in lab on a chip </w:t>
      </w:r>
      <w:proofErr w:type="gramStart"/>
      <w:r w:rsidR="004B2E46" w:rsidRPr="00404A5C">
        <w:rPr>
          <w:rFonts w:ascii="Calibri" w:hAnsi="Calibri" w:cs="Calibri"/>
          <w:b/>
          <w:sz w:val="28"/>
          <w:szCs w:val="28"/>
        </w:rPr>
        <w:t>devices</w:t>
      </w:r>
      <w:proofErr w:type="gramEnd"/>
    </w:p>
    <w:p w14:paraId="6411F1EC" w14:textId="77777777" w:rsidR="001544FA" w:rsidRPr="00404A5C" w:rsidRDefault="004B2E46" w:rsidP="00404A5C">
      <w:pPr>
        <w:pStyle w:val="a"/>
        <w:snapToGrid w:val="0"/>
        <w:jc w:val="center"/>
        <w:rPr>
          <w:rFonts w:ascii="Calibri" w:hAnsi="Calibri" w:cs="Calibri"/>
        </w:rPr>
      </w:pPr>
      <w:r w:rsidRPr="00404A5C">
        <w:rPr>
          <w:rFonts w:ascii="Calibri" w:hAnsi="Calibri" w:cs="Calibri"/>
          <w:i/>
        </w:rPr>
        <w:t xml:space="preserve">L. Tong, J. Shi, </w:t>
      </w:r>
      <w:r w:rsidR="00C077DE" w:rsidRPr="00404A5C">
        <w:rPr>
          <w:rFonts w:ascii="Calibri" w:hAnsi="Calibri" w:cs="Calibri"/>
          <w:i/>
        </w:rPr>
        <w:t>W. Tong</w:t>
      </w:r>
      <w:r w:rsidRPr="00404A5C">
        <w:rPr>
          <w:rFonts w:ascii="Calibri" w:hAnsi="Calibri" w:cs="Calibri"/>
          <w:i/>
        </w:rPr>
        <w:t xml:space="preserve"> and Y. Zhu*</w:t>
      </w:r>
    </w:p>
    <w:p w14:paraId="1F7ACC4B" w14:textId="77777777" w:rsidR="001544FA" w:rsidRPr="00404A5C" w:rsidRDefault="004B2E46" w:rsidP="00404A5C">
      <w:pPr>
        <w:pStyle w:val="a"/>
        <w:snapToGrid w:val="0"/>
        <w:jc w:val="center"/>
        <w:rPr>
          <w:rFonts w:ascii="Calibri" w:hAnsi="Calibri" w:cs="Calibri"/>
        </w:rPr>
      </w:pPr>
      <w:r w:rsidRPr="00404A5C">
        <w:rPr>
          <w:rFonts w:ascii="Calibri" w:hAnsi="Calibri" w:cs="Calibri"/>
        </w:rPr>
        <w:t xml:space="preserve">Center for Microflows and Nanoflows, Harbin Institute of Technology (Shenzhen), </w:t>
      </w:r>
    </w:p>
    <w:p w14:paraId="44FC1FC1" w14:textId="77777777" w:rsidR="008E36DE" w:rsidRPr="00404A5C" w:rsidRDefault="004B2E46" w:rsidP="00404A5C">
      <w:pPr>
        <w:pStyle w:val="a"/>
        <w:snapToGrid w:val="0"/>
        <w:jc w:val="center"/>
        <w:rPr>
          <w:rFonts w:ascii="Calibri" w:hAnsi="Calibri" w:cs="Calibri"/>
        </w:rPr>
      </w:pPr>
      <w:r w:rsidRPr="00404A5C">
        <w:rPr>
          <w:rFonts w:ascii="Calibri" w:hAnsi="Calibri" w:cs="Calibri"/>
        </w:rPr>
        <w:t>Shenzhen, China</w:t>
      </w:r>
    </w:p>
    <w:p w14:paraId="175B0608" w14:textId="77777777" w:rsidR="001544FA" w:rsidRPr="00404A5C" w:rsidRDefault="004B2E46" w:rsidP="00404A5C">
      <w:pPr>
        <w:pStyle w:val="a"/>
        <w:snapToGrid w:val="0"/>
        <w:jc w:val="both"/>
        <w:rPr>
          <w:rFonts w:ascii="Calibri" w:hAnsi="Calibri" w:cs="Calibri"/>
        </w:rPr>
      </w:pPr>
      <w:r w:rsidRPr="00404A5C">
        <w:rPr>
          <w:rFonts w:ascii="Calibri" w:hAnsi="Calibri" w:cs="Calibri"/>
          <w:b/>
        </w:rPr>
        <w:t>Introduction</w:t>
      </w:r>
    </w:p>
    <w:p w14:paraId="1A032F5C" w14:textId="77777777" w:rsidR="002723E3" w:rsidRDefault="00404A5C" w:rsidP="00404A5C">
      <w:pPr>
        <w:pStyle w:val="a"/>
        <w:snapToGri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</w:t>
      </w:r>
      <w:r w:rsidR="004B2E46" w:rsidRPr="00404A5C">
        <w:rPr>
          <w:rFonts w:ascii="Calibri" w:hAnsi="Calibri" w:cs="Calibri"/>
        </w:rPr>
        <w:t xml:space="preserve">uantification of </w:t>
      </w:r>
      <w:r>
        <w:rPr>
          <w:rFonts w:ascii="Calibri" w:hAnsi="Calibri" w:cs="Calibri"/>
        </w:rPr>
        <w:t>cell</w:t>
      </w:r>
      <w:r w:rsidR="004B2E46" w:rsidRPr="00404A5C">
        <w:rPr>
          <w:rFonts w:ascii="Calibri" w:hAnsi="Calibri" w:cs="Calibri"/>
        </w:rPr>
        <w:t xml:space="preserve"> metabolites is critical for understanding the dynamic cellular metabolism and subsequently disease development and its treatment</w:t>
      </w:r>
      <w:r w:rsidR="001B39AB" w:rsidRPr="00404A5C">
        <w:rPr>
          <w:rFonts w:ascii="Calibri" w:hAnsi="Calibri" w:cs="Calibri"/>
        </w:rPr>
        <w:t xml:space="preserve"> </w:t>
      </w:r>
      <w:r w:rsidR="004B2E46" w:rsidRPr="00404A5C">
        <w:rPr>
          <w:rFonts w:ascii="Calibri" w:hAnsi="Calibri" w:cs="Calibri"/>
        </w:rPr>
        <w:t>[1</w:t>
      </w:r>
      <w:r w:rsidR="00307A5C" w:rsidRPr="00404A5C">
        <w:rPr>
          <w:rFonts w:ascii="Calibri" w:hAnsi="Calibri" w:cs="Calibri"/>
        </w:rPr>
        <w:t>-3</w:t>
      </w:r>
      <w:r w:rsidR="004B2E46" w:rsidRPr="00404A5C">
        <w:rPr>
          <w:rFonts w:ascii="Calibri" w:hAnsi="Calibri" w:cs="Calibri"/>
        </w:rPr>
        <w:t xml:space="preserve">]. </w:t>
      </w:r>
      <w:r w:rsidR="002723E3">
        <w:rPr>
          <w:rFonts w:ascii="Calibri" w:hAnsi="Calibri" w:cs="Calibri"/>
        </w:rPr>
        <w:t xml:space="preserve">The current work on </w:t>
      </w:r>
      <w:proofErr w:type="spellStart"/>
      <w:r w:rsidR="002723E3">
        <w:rPr>
          <w:rFonts w:ascii="Calibri" w:hAnsi="Calibri" w:cs="Calibri"/>
        </w:rPr>
        <w:t>lon</w:t>
      </w:r>
      <w:proofErr w:type="spellEnd"/>
      <w:r w:rsidR="002723E3">
        <w:rPr>
          <w:rFonts w:ascii="Calibri" w:hAnsi="Calibri" w:cs="Calibri"/>
        </w:rPr>
        <w:t xml:space="preserve"> term and continue detection of metabolites is lim</w:t>
      </w:r>
      <w:r w:rsidR="008A4CDB">
        <w:rPr>
          <w:rFonts w:ascii="Calibri" w:hAnsi="Calibri" w:cs="Calibri"/>
        </w:rPr>
        <w:t>i</w:t>
      </w:r>
      <w:r w:rsidR="002723E3">
        <w:rPr>
          <w:rFonts w:ascii="Calibri" w:hAnsi="Calibri" w:cs="Calibri"/>
        </w:rPr>
        <w:t xml:space="preserve">ted. </w:t>
      </w:r>
      <w:r w:rsidR="004B2E46" w:rsidRPr="00404A5C">
        <w:rPr>
          <w:rFonts w:ascii="Calibri" w:hAnsi="Calibri" w:cs="Calibri"/>
        </w:rPr>
        <w:t>This paper reports the development of a lab on a chip device for continuous detection of cell metabolites</w:t>
      </w:r>
      <w:r w:rsidR="002723E3">
        <w:rPr>
          <w:rFonts w:ascii="Calibri" w:hAnsi="Calibri" w:cs="Calibri"/>
        </w:rPr>
        <w:t>.</w:t>
      </w:r>
    </w:p>
    <w:p w14:paraId="073C96B8" w14:textId="77777777" w:rsidR="001544FA" w:rsidRPr="00404A5C" w:rsidRDefault="004B2E46" w:rsidP="00404A5C">
      <w:pPr>
        <w:pStyle w:val="a"/>
        <w:snapToGrid w:val="0"/>
        <w:jc w:val="both"/>
        <w:rPr>
          <w:rFonts w:ascii="Calibri" w:hAnsi="Calibri" w:cs="Calibri"/>
        </w:rPr>
      </w:pPr>
      <w:r w:rsidRPr="00404A5C">
        <w:rPr>
          <w:rFonts w:ascii="Calibri" w:hAnsi="Calibri" w:cs="Calibri"/>
          <w:b/>
        </w:rPr>
        <w:t>Methods</w:t>
      </w:r>
    </w:p>
    <w:p w14:paraId="3A6ED075" w14:textId="77777777" w:rsidR="001544FA" w:rsidRPr="00404A5C" w:rsidRDefault="002723E3" w:rsidP="00404A5C">
      <w:pPr>
        <w:pStyle w:val="a"/>
        <w:snapToGri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4B2E46" w:rsidRPr="00404A5C">
        <w:rPr>
          <w:rFonts w:ascii="Calibri" w:hAnsi="Calibri" w:cs="Calibri"/>
        </w:rPr>
        <w:t xml:space="preserve">he micro device consists of a cell culture zone, a micro reactor and a detection </w:t>
      </w:r>
      <w:r>
        <w:rPr>
          <w:rFonts w:ascii="Calibri" w:hAnsi="Calibri" w:cs="Calibri"/>
        </w:rPr>
        <w:t>zone</w:t>
      </w:r>
      <w:r w:rsidR="004B2E46" w:rsidRPr="00404A5C">
        <w:rPr>
          <w:rFonts w:ascii="Calibri" w:hAnsi="Calibri" w:cs="Calibri"/>
        </w:rPr>
        <w:t xml:space="preserve">. </w:t>
      </w:r>
      <w:r w:rsidR="00B94A0C" w:rsidRPr="00404A5C">
        <w:rPr>
          <w:rFonts w:ascii="Calibri" w:hAnsi="Calibri" w:cs="Calibri"/>
        </w:rPr>
        <w:t xml:space="preserve">HUVEC cells were used as the model cells. </w:t>
      </w:r>
      <w:r w:rsidR="00FF18A1" w:rsidRPr="00404A5C">
        <w:rPr>
          <w:rFonts w:ascii="Calibri" w:eastAsia="Droid Serif" w:hAnsi="Calibri" w:cs="Calibri"/>
        </w:rPr>
        <w:t xml:space="preserve">Glucose was chosen as the model analyte for this study. </w:t>
      </w:r>
      <w:r w:rsidR="00B94A0C" w:rsidRPr="00404A5C">
        <w:rPr>
          <w:rFonts w:ascii="Calibri" w:hAnsi="Calibri" w:cs="Calibri"/>
        </w:rPr>
        <w:t xml:space="preserve">The glucose uptake of HUVEC cells was measured for a period of 20h. An injection analysis protocol was used for biochemical analysis of the cell culturing. </w:t>
      </w:r>
      <w:r w:rsidR="004B2E46" w:rsidRPr="00404A5C">
        <w:rPr>
          <w:rFonts w:ascii="Calibri" w:hAnsi="Calibri" w:cs="Calibri"/>
        </w:rPr>
        <w:t>0</w:t>
      </w:r>
      <w:r w:rsidR="007F76FC" w:rsidRPr="00404A5C">
        <w:rPr>
          <w:rFonts w:ascii="Calibri" w:hAnsi="Calibri" w:cs="Calibri"/>
        </w:rPr>
        <w:t xml:space="preserve"> </w:t>
      </w:r>
      <w:proofErr w:type="spellStart"/>
      <w:r w:rsidR="004B2E46" w:rsidRPr="00404A5C">
        <w:rPr>
          <w:rFonts w:ascii="Calibri" w:eastAsia="Droid Serif" w:hAnsi="Calibri" w:cs="Calibri"/>
        </w:rPr>
        <w:t>μl</w:t>
      </w:r>
      <w:proofErr w:type="spellEnd"/>
      <w:r w:rsidR="004B2E46" w:rsidRPr="00404A5C">
        <w:rPr>
          <w:rFonts w:ascii="Calibri" w:eastAsia="Droid Serif" w:hAnsi="Calibri" w:cs="Calibri"/>
        </w:rPr>
        <w:t xml:space="preserve"> DMEM medium with the glucose concentration of 300 </w:t>
      </w:r>
      <w:proofErr w:type="spellStart"/>
      <w:r w:rsidR="004B2E46" w:rsidRPr="00404A5C">
        <w:rPr>
          <w:rFonts w:ascii="Calibri" w:eastAsia="Droid Serif" w:hAnsi="Calibri" w:cs="Calibri"/>
        </w:rPr>
        <w:t>μM</w:t>
      </w:r>
      <w:proofErr w:type="spellEnd"/>
      <w:r w:rsidR="004B2E46" w:rsidRPr="00404A5C">
        <w:rPr>
          <w:rFonts w:ascii="Calibri" w:eastAsia="Droid Serif" w:hAnsi="Calibri" w:cs="Calibri"/>
        </w:rPr>
        <w:t xml:space="preserve"> </w:t>
      </w:r>
      <w:r w:rsidR="00FF18A1" w:rsidRPr="00404A5C">
        <w:rPr>
          <w:rFonts w:ascii="Calibri" w:eastAsia="Droid Serif" w:hAnsi="Calibri" w:cs="Calibri"/>
        </w:rPr>
        <w:t>was</w:t>
      </w:r>
      <w:r w:rsidR="004B2E46" w:rsidRPr="00404A5C">
        <w:rPr>
          <w:rFonts w:ascii="Calibri" w:eastAsia="Droid Serif" w:hAnsi="Calibri" w:cs="Calibri"/>
        </w:rPr>
        <w:t xml:space="preserve"> pushed into the culture zone with the rate of 1μl/min every 2</w:t>
      </w:r>
      <w:r w:rsidR="007F76FC" w:rsidRPr="00404A5C">
        <w:rPr>
          <w:rFonts w:ascii="Calibri" w:eastAsia="Droid Serif" w:hAnsi="Calibri" w:cs="Calibri"/>
        </w:rPr>
        <w:t xml:space="preserve"> </w:t>
      </w:r>
      <w:r w:rsidR="004B2E46" w:rsidRPr="00404A5C">
        <w:rPr>
          <w:rFonts w:ascii="Calibri" w:eastAsia="Droid Serif" w:hAnsi="Calibri" w:cs="Calibri"/>
        </w:rPr>
        <w:t>h</w:t>
      </w:r>
      <w:r w:rsidR="00FF18A1" w:rsidRPr="00404A5C">
        <w:rPr>
          <w:rFonts w:ascii="Calibri" w:eastAsia="Droid Serif" w:hAnsi="Calibri" w:cs="Calibri"/>
        </w:rPr>
        <w:t>ours</w:t>
      </w:r>
      <w:r w:rsidR="004B2E46" w:rsidRPr="00404A5C">
        <w:rPr>
          <w:rFonts w:ascii="Calibri" w:eastAsia="Droid Serif" w:hAnsi="Calibri" w:cs="Calibri"/>
        </w:rPr>
        <w:t xml:space="preserve">. </w:t>
      </w:r>
      <w:r w:rsidR="00FF18A1" w:rsidRPr="00404A5C">
        <w:rPr>
          <w:rFonts w:ascii="Calibri" w:eastAsia="Droid Serif" w:hAnsi="Calibri" w:cs="Calibri"/>
        </w:rPr>
        <w:t xml:space="preserve">A </w:t>
      </w:r>
      <w:r w:rsidR="00FF18A1" w:rsidRPr="00404A5C">
        <w:rPr>
          <w:rFonts w:ascii="Calibri" w:hAnsi="Calibri" w:cs="Calibri"/>
        </w:rPr>
        <w:t>l</w:t>
      </w:r>
      <w:r w:rsidR="004B2E46" w:rsidRPr="00404A5C">
        <w:rPr>
          <w:rFonts w:ascii="Calibri" w:hAnsi="Calibri" w:cs="Calibri"/>
        </w:rPr>
        <w:t xml:space="preserve">aser induced fluorescence </w:t>
      </w:r>
      <w:r w:rsidR="00FF18A1" w:rsidRPr="00404A5C">
        <w:rPr>
          <w:rFonts w:ascii="Calibri" w:hAnsi="Calibri" w:cs="Calibri"/>
        </w:rPr>
        <w:t>met</w:t>
      </w:r>
      <w:r w:rsidR="00B94A0C" w:rsidRPr="00404A5C">
        <w:rPr>
          <w:rFonts w:ascii="Calibri" w:hAnsi="Calibri" w:cs="Calibri"/>
        </w:rPr>
        <w:t>h</w:t>
      </w:r>
      <w:r w:rsidR="00FF18A1" w:rsidRPr="00404A5C">
        <w:rPr>
          <w:rFonts w:ascii="Calibri" w:hAnsi="Calibri" w:cs="Calibri"/>
        </w:rPr>
        <w:t>od</w:t>
      </w:r>
      <w:r w:rsidR="004B2E46" w:rsidRPr="00404A5C">
        <w:rPr>
          <w:rFonts w:ascii="Calibri" w:hAnsi="Calibri" w:cs="Calibri"/>
        </w:rPr>
        <w:t xml:space="preserve"> </w:t>
      </w:r>
      <w:r w:rsidR="00FF18A1" w:rsidRPr="00404A5C">
        <w:rPr>
          <w:rFonts w:ascii="Calibri" w:hAnsi="Calibri" w:cs="Calibri"/>
        </w:rPr>
        <w:t>wa</w:t>
      </w:r>
      <w:r w:rsidR="004B2E46" w:rsidRPr="00404A5C">
        <w:rPr>
          <w:rFonts w:ascii="Calibri" w:hAnsi="Calibri" w:cs="Calibri"/>
        </w:rPr>
        <w:t xml:space="preserve">s used to detect glucose with </w:t>
      </w:r>
      <w:proofErr w:type="spellStart"/>
      <w:r w:rsidR="004B2E46" w:rsidRPr="00404A5C">
        <w:rPr>
          <w:rFonts w:ascii="Calibri" w:hAnsi="Calibri" w:cs="Calibri"/>
        </w:rPr>
        <w:t>Amplex</w:t>
      </w:r>
      <w:proofErr w:type="spellEnd"/>
      <w:r w:rsidR="004B2E46" w:rsidRPr="00404A5C">
        <w:rPr>
          <w:rFonts w:ascii="Calibri" w:hAnsi="Calibri" w:cs="Calibri"/>
        </w:rPr>
        <w:t xml:space="preserve"> Red as the indicator. The serpentine </w:t>
      </w:r>
      <w:r w:rsidR="00FF18A1" w:rsidRPr="00404A5C">
        <w:rPr>
          <w:rFonts w:ascii="Calibri" w:hAnsi="Calibri" w:cs="Calibri"/>
        </w:rPr>
        <w:t xml:space="preserve">region of the </w:t>
      </w:r>
      <w:r w:rsidR="004B2E46" w:rsidRPr="00404A5C">
        <w:rPr>
          <w:rFonts w:ascii="Calibri" w:hAnsi="Calibri" w:cs="Calibri"/>
        </w:rPr>
        <w:t>micro reactor is the site of the enzymatic reaction of metabolite and indicator</w:t>
      </w:r>
    </w:p>
    <w:p w14:paraId="483FFA83" w14:textId="77777777" w:rsidR="001544FA" w:rsidRPr="00404A5C" w:rsidRDefault="004B2E46" w:rsidP="00404A5C">
      <w:pPr>
        <w:pStyle w:val="a"/>
        <w:snapToGrid w:val="0"/>
        <w:jc w:val="both"/>
        <w:rPr>
          <w:rFonts w:ascii="Calibri" w:hAnsi="Calibri" w:cs="Calibri"/>
        </w:rPr>
      </w:pPr>
      <w:r w:rsidRPr="00404A5C">
        <w:rPr>
          <w:rFonts w:ascii="Calibri" w:hAnsi="Calibri" w:cs="Calibri"/>
          <w:b/>
        </w:rPr>
        <w:t>Results</w:t>
      </w:r>
    </w:p>
    <w:p w14:paraId="597A3D8B" w14:textId="77777777" w:rsidR="00256F3F" w:rsidRPr="00404A5C" w:rsidRDefault="004B2E46" w:rsidP="00404A5C">
      <w:pPr>
        <w:pStyle w:val="a"/>
        <w:snapToGrid w:val="0"/>
        <w:jc w:val="both"/>
        <w:rPr>
          <w:rFonts w:ascii="Calibri" w:hAnsi="Calibri" w:cs="Calibri"/>
        </w:rPr>
      </w:pPr>
      <w:r w:rsidRPr="00404A5C">
        <w:rPr>
          <w:rFonts w:ascii="Calibri" w:hAnsi="Calibri" w:cs="Calibri"/>
        </w:rPr>
        <w:t>The single cell screening and releasing capabilities of this device are experimentally tested.</w:t>
      </w:r>
      <w:r w:rsidR="00B94A0C" w:rsidRPr="00404A5C">
        <w:rPr>
          <w:rFonts w:ascii="Calibri" w:hAnsi="Calibri" w:cs="Calibri"/>
        </w:rPr>
        <w:t xml:space="preserve"> The </w:t>
      </w:r>
      <w:r w:rsidR="00FF18A1" w:rsidRPr="00404A5C">
        <w:rPr>
          <w:rFonts w:ascii="Calibri" w:hAnsi="Calibri" w:cs="Calibri"/>
        </w:rPr>
        <w:t>Fig. 1</w:t>
      </w:r>
      <w:r w:rsidR="00256F3F" w:rsidRPr="00404A5C">
        <w:rPr>
          <w:rFonts w:ascii="Calibri" w:hAnsi="Calibri" w:cs="Calibri"/>
        </w:rPr>
        <w:t>a</w:t>
      </w:r>
      <w:r w:rsidR="00FF18A1" w:rsidRPr="00404A5C">
        <w:rPr>
          <w:rFonts w:ascii="Calibri" w:hAnsi="Calibri" w:cs="Calibri"/>
        </w:rPr>
        <w:t xml:space="preserve"> shows the dose response curve </w:t>
      </w:r>
      <w:r w:rsidR="00B94A0C" w:rsidRPr="00404A5C">
        <w:rPr>
          <w:rFonts w:ascii="Calibri" w:hAnsi="Calibri" w:cs="Calibri"/>
        </w:rPr>
        <w:t xml:space="preserve">of glucose detection of the system, with </w:t>
      </w:r>
      <w:r w:rsidRPr="00404A5C">
        <w:rPr>
          <w:rFonts w:ascii="Calibri" w:hAnsi="Calibri" w:cs="Calibri"/>
        </w:rPr>
        <w:t xml:space="preserve">the concentration response range of 20~300 </w:t>
      </w:r>
      <w:proofErr w:type="spellStart"/>
      <w:r w:rsidRPr="00404A5C">
        <w:rPr>
          <w:rFonts w:ascii="Calibri" w:eastAsia="Droid Serif" w:hAnsi="Calibri" w:cs="Calibri"/>
        </w:rPr>
        <w:t>μM</w:t>
      </w:r>
      <w:proofErr w:type="spellEnd"/>
      <w:r w:rsidRPr="00404A5C">
        <w:rPr>
          <w:rFonts w:ascii="Calibri" w:eastAsia="Droid Serif" w:hAnsi="Calibri" w:cs="Calibri"/>
        </w:rPr>
        <w:t xml:space="preserve"> and the LOD of 10 </w:t>
      </w:r>
      <w:proofErr w:type="spellStart"/>
      <w:r w:rsidRPr="00404A5C">
        <w:rPr>
          <w:rFonts w:ascii="Calibri" w:eastAsia="Droid Serif" w:hAnsi="Calibri" w:cs="Calibri"/>
        </w:rPr>
        <w:t>μM</w:t>
      </w:r>
      <w:proofErr w:type="spellEnd"/>
      <w:r w:rsidR="00256F3F" w:rsidRPr="00404A5C">
        <w:rPr>
          <w:rFonts w:ascii="Calibri" w:eastAsia="Droid Serif" w:hAnsi="Calibri" w:cs="Calibri"/>
        </w:rPr>
        <w:t>.</w:t>
      </w:r>
      <w:r w:rsidR="00B94A0C" w:rsidRPr="00404A5C">
        <w:rPr>
          <w:rFonts w:ascii="Calibri" w:eastAsia="Droid Serif" w:hAnsi="Calibri" w:cs="Calibri"/>
        </w:rPr>
        <w:t xml:space="preserve"> </w:t>
      </w:r>
      <w:r w:rsidR="008D0778" w:rsidRPr="00404A5C">
        <w:rPr>
          <w:rFonts w:ascii="Calibri" w:hAnsi="Calibri" w:cs="Calibri"/>
        </w:rPr>
        <w:t>Fig</w:t>
      </w:r>
      <w:r w:rsidR="00256F3F" w:rsidRPr="00404A5C">
        <w:rPr>
          <w:rFonts w:ascii="Calibri" w:hAnsi="Calibri" w:cs="Calibri"/>
        </w:rPr>
        <w:t>. 1b shows the measured glucose concentration.  As the cells grow and divide,</w:t>
      </w:r>
      <w:r w:rsidR="008D0778" w:rsidRPr="00404A5C">
        <w:rPr>
          <w:rFonts w:ascii="Calibri" w:hAnsi="Calibri" w:cs="Calibri"/>
        </w:rPr>
        <w:t xml:space="preserve"> </w:t>
      </w:r>
      <w:r w:rsidR="00256F3F" w:rsidRPr="00404A5C">
        <w:rPr>
          <w:rFonts w:ascii="Calibri" w:hAnsi="Calibri" w:cs="Calibri"/>
        </w:rPr>
        <w:t>t</w:t>
      </w:r>
      <w:r w:rsidR="008D0778" w:rsidRPr="00404A5C">
        <w:rPr>
          <w:rFonts w:ascii="Calibri" w:hAnsi="Calibri" w:cs="Calibri"/>
        </w:rPr>
        <w:t>he consumption of glucose by cells gradually increases</w:t>
      </w:r>
      <w:r w:rsidR="00256F3F" w:rsidRPr="00404A5C">
        <w:rPr>
          <w:rFonts w:ascii="Calibri" w:hAnsi="Calibri" w:cs="Calibri"/>
        </w:rPr>
        <w:t>, almost linearly in the first 10 hours, and reaches a steady value towards the end of testing. T</w:t>
      </w:r>
      <w:r w:rsidR="008D0778" w:rsidRPr="00404A5C">
        <w:rPr>
          <w:rFonts w:ascii="Calibri" w:hAnsi="Calibri" w:cs="Calibri"/>
        </w:rPr>
        <w:t>he rate of glucose consumption by the cells is calculated to be 17 nmol/10</w:t>
      </w:r>
      <w:r w:rsidR="008D0778" w:rsidRPr="00404A5C">
        <w:rPr>
          <w:rFonts w:ascii="Calibri" w:hAnsi="Calibri" w:cs="Calibri"/>
          <w:vertAlign w:val="superscript"/>
        </w:rPr>
        <w:t>5</w:t>
      </w:r>
      <w:r w:rsidR="008D0778" w:rsidRPr="00404A5C">
        <w:rPr>
          <w:rFonts w:ascii="Calibri" w:hAnsi="Calibri" w:cs="Calibri"/>
        </w:rPr>
        <w:t xml:space="preserve"> </w:t>
      </w:r>
      <w:proofErr w:type="spellStart"/>
      <w:r w:rsidR="008D0778" w:rsidRPr="00404A5C">
        <w:rPr>
          <w:rFonts w:ascii="Calibri" w:hAnsi="Calibri" w:cs="Calibri"/>
        </w:rPr>
        <w:t>cells·h</w:t>
      </w:r>
      <w:proofErr w:type="spellEnd"/>
      <w:r w:rsidR="00256F3F" w:rsidRPr="00404A5C">
        <w:rPr>
          <w:rFonts w:ascii="Calibri" w:hAnsi="Calibri" w:cs="Calibri"/>
        </w:rPr>
        <w:t>, which is c</w:t>
      </w:r>
      <w:r w:rsidR="00FC30D5" w:rsidRPr="00404A5C">
        <w:rPr>
          <w:rFonts w:ascii="Calibri" w:hAnsi="Calibri" w:cs="Calibri"/>
        </w:rPr>
        <w:t>ompar</w:t>
      </w:r>
      <w:r w:rsidR="00256F3F" w:rsidRPr="00404A5C">
        <w:rPr>
          <w:rFonts w:ascii="Calibri" w:hAnsi="Calibri" w:cs="Calibri"/>
        </w:rPr>
        <w:t xml:space="preserve">able to the results in the published </w:t>
      </w:r>
      <w:proofErr w:type="gramStart"/>
      <w:r w:rsidR="00256F3F" w:rsidRPr="00404A5C">
        <w:rPr>
          <w:rFonts w:ascii="Calibri" w:hAnsi="Calibri" w:cs="Calibri"/>
        </w:rPr>
        <w:t>literature</w:t>
      </w:r>
      <w:r w:rsidR="00FC30D5" w:rsidRPr="00404A5C">
        <w:rPr>
          <w:rFonts w:ascii="Calibri" w:hAnsi="Calibri" w:cs="Calibri"/>
        </w:rPr>
        <w:t>[</w:t>
      </w:r>
      <w:proofErr w:type="gramEnd"/>
      <w:r w:rsidR="00FC30D5" w:rsidRPr="00404A5C">
        <w:rPr>
          <w:rFonts w:ascii="Calibri" w:hAnsi="Calibri" w:cs="Calibri"/>
        </w:rPr>
        <w:t>4,5]</w:t>
      </w:r>
      <w:r w:rsidR="00256F3F" w:rsidRPr="00404A5C">
        <w:rPr>
          <w:rFonts w:ascii="Calibri" w:hAnsi="Calibri" w:cs="Calibri"/>
        </w:rPr>
        <w:t xml:space="preserve">. </w:t>
      </w:r>
    </w:p>
    <w:p w14:paraId="4197E20D" w14:textId="77777777" w:rsidR="00256F3F" w:rsidRPr="00404A5C" w:rsidRDefault="00256F3F" w:rsidP="00404A5C">
      <w:pPr>
        <w:pStyle w:val="a"/>
        <w:snapToGrid w:val="0"/>
        <w:jc w:val="both"/>
        <w:rPr>
          <w:rFonts w:ascii="Calibri" w:hAnsi="Calibri" w:cs="Calibri"/>
        </w:rPr>
      </w:pPr>
      <w:r w:rsidRPr="00404A5C">
        <w:rPr>
          <w:rFonts w:ascii="Calibri" w:hAnsi="Calibri" w:cs="Calibri"/>
          <w:b/>
        </w:rPr>
        <w:t>Conclusions</w:t>
      </w:r>
    </w:p>
    <w:p w14:paraId="7AC7DD6B" w14:textId="77777777" w:rsidR="001544FA" w:rsidRPr="00404A5C" w:rsidRDefault="00256F3F" w:rsidP="00404A5C">
      <w:pPr>
        <w:pStyle w:val="a"/>
        <w:snapToGrid w:val="0"/>
        <w:jc w:val="both"/>
        <w:rPr>
          <w:rFonts w:ascii="Calibri" w:hAnsi="Calibri" w:cs="Calibri"/>
        </w:rPr>
      </w:pPr>
      <w:r w:rsidRPr="00404A5C">
        <w:rPr>
          <w:rFonts w:ascii="Calibri" w:hAnsi="Calibri" w:cs="Calibri"/>
        </w:rPr>
        <w:t>A cell-based microfluidic device has been developed for continuous detection of cell metabolites.</w:t>
      </w:r>
      <w:r w:rsidR="00382411" w:rsidRPr="00404A5C">
        <w:rPr>
          <w:rFonts w:ascii="Calibri" w:hAnsi="Calibri" w:cs="Calibri"/>
        </w:rPr>
        <w:t xml:space="preserve"> It has been demonstrated to detect </w:t>
      </w:r>
      <w:r w:rsidR="00FC30D5" w:rsidRPr="00404A5C">
        <w:rPr>
          <w:rFonts w:ascii="Calibri" w:hAnsi="Calibri" w:cs="Calibri"/>
        </w:rPr>
        <w:t xml:space="preserve">glucose </w:t>
      </w:r>
      <w:r w:rsidR="00382411" w:rsidRPr="00404A5C">
        <w:rPr>
          <w:rFonts w:ascii="Calibri" w:hAnsi="Calibri" w:cs="Calibri"/>
        </w:rPr>
        <w:t xml:space="preserve">consumption of HUVEC cells over </w:t>
      </w:r>
      <w:proofErr w:type="gramStart"/>
      <w:r w:rsidR="00382411" w:rsidRPr="00404A5C">
        <w:rPr>
          <w:rFonts w:ascii="Calibri" w:hAnsi="Calibri" w:cs="Calibri"/>
        </w:rPr>
        <w:t>20 hour</w:t>
      </w:r>
      <w:proofErr w:type="gramEnd"/>
      <w:r w:rsidR="00382411" w:rsidRPr="00404A5C">
        <w:rPr>
          <w:rFonts w:ascii="Calibri" w:hAnsi="Calibri" w:cs="Calibri"/>
        </w:rPr>
        <w:t xml:space="preserve"> period. This has the potential for long term real-time analysis of cell metabolism</w:t>
      </w:r>
      <w:r w:rsidR="00FC30D5" w:rsidRPr="00404A5C">
        <w:rPr>
          <w:rFonts w:ascii="Calibri" w:hAnsi="Calibri" w:cs="Calibri"/>
        </w:rPr>
        <w:t>.</w:t>
      </w:r>
    </w:p>
    <w:p w14:paraId="608643C3" w14:textId="77777777" w:rsidR="00307A5C" w:rsidRPr="00404A5C" w:rsidRDefault="00404A5C" w:rsidP="00404A5C">
      <w:pPr>
        <w:pStyle w:val="a"/>
        <w:snapToGri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4D73E" wp14:editId="1AE245BC">
                <wp:simplePos x="0" y="0"/>
                <wp:positionH relativeFrom="column">
                  <wp:posOffset>3922395</wp:posOffset>
                </wp:positionH>
                <wp:positionV relativeFrom="paragraph">
                  <wp:posOffset>338455</wp:posOffset>
                </wp:positionV>
                <wp:extent cx="1343660" cy="89281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6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812115" w14:textId="77777777" w:rsidR="00404A5C" w:rsidRDefault="00404A5C" w:rsidP="00404A5C">
                            <w:pPr>
                              <w:pStyle w:val="a"/>
                              <w:snapToGrid w:val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404A5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Fig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  <w:r w:rsidRPr="00404A5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1 a) Dose response of glucose detection </w:t>
                            </w:r>
                          </w:p>
                          <w:p w14:paraId="40DEE803" w14:textId="77777777" w:rsidR="00404A5C" w:rsidRPr="00404A5C" w:rsidRDefault="00404A5C" w:rsidP="00404A5C">
                            <w:pPr>
                              <w:pStyle w:val="a"/>
                              <w:snapToGrid w:val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404A5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b) HUVEC cells glucose uptake during the </w:t>
                            </w:r>
                            <w:proofErr w:type="gramStart"/>
                            <w:r w:rsidRPr="00404A5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20 hour</w:t>
                            </w:r>
                            <w:proofErr w:type="gramEnd"/>
                            <w:r w:rsidRPr="00404A5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test period.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8.85pt;margin-top:26.65pt;width:105.8pt;height:7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" filled="f" stroked="f" strokeweight=".5pt">
                <v:textbox inset="1mm,0,1mm,0">
                  <w:txbxContent>
                    <w:p w:rsidR="00404A5C" w:rsidRDefault="00404A5C" w:rsidP="00404A5C">
                      <w:pPr>
                        <w:pStyle w:val="a"/>
                        <w:snapToGrid w:val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404A5C">
                        <w:rPr>
                          <w:rFonts w:ascii="Calibri" w:hAnsi="Calibri" w:cs="Calibri"/>
                          <w:sz w:val="20"/>
                          <w:szCs w:val="20"/>
                        </w:rPr>
                        <w:t>Fig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  <w:r w:rsidRPr="00404A5C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1 a) Dose response of glucose detection </w:t>
                      </w:r>
                    </w:p>
                    <w:p w:rsidR="00404A5C" w:rsidRPr="00404A5C" w:rsidRDefault="00404A5C" w:rsidP="00404A5C">
                      <w:pPr>
                        <w:pStyle w:val="a"/>
                        <w:snapToGrid w:val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404A5C">
                        <w:rPr>
                          <w:rFonts w:ascii="Calibri" w:hAnsi="Calibri" w:cs="Calibri"/>
                          <w:sz w:val="20"/>
                          <w:szCs w:val="20"/>
                        </w:rPr>
                        <w:t>b) HUVEC cells glucose uptake during the 20 hour test period.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9F976" wp14:editId="2F041E9A">
                <wp:simplePos x="0" y="0"/>
                <wp:positionH relativeFrom="column">
                  <wp:posOffset>1309669</wp:posOffset>
                </wp:positionH>
                <wp:positionV relativeFrom="paragraph">
                  <wp:posOffset>886908</wp:posOffset>
                </wp:positionV>
                <wp:extent cx="2614108" cy="236033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108" cy="2360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BE72F2" w14:textId="77777777" w:rsidR="00404A5C" w:rsidRPr="00404A5C" w:rsidRDefault="00404A5C" w:rsidP="00404A5C">
                            <w:pPr>
                              <w:pStyle w:val="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 xml:space="preserve"> (b)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64FC0" id="Text Box 2" o:spid="_x0000_s1027" type="#_x0000_t202" style="position:absolute;left:0;text-align:left;margin-left:103.1pt;margin-top:69.85pt;width:205.85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" filled="f" stroked="f" strokeweight=".5pt">
                <v:textbox inset="1mm,0,1mm,0">
                  <w:txbxContent>
                    <w:p w:rsidR="00404A5C" w:rsidRPr="00404A5C" w:rsidRDefault="00404A5C" w:rsidP="00404A5C">
                      <w:pPr>
                        <w:pStyle w:val="a"/>
                        <w:numPr>
                          <w:ilvl w:val="0"/>
                          <w:numId w:val="1"/>
                        </w:numPr>
                        <w:snapToGrid w:val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 xml:space="preserve">   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 xml:space="preserve"> (b)</w:t>
                      </w:r>
                    </w:p>
                  </w:txbxContent>
                </v:textbox>
              </v:shape>
            </w:pict>
          </mc:Fallback>
        </mc:AlternateContent>
      </w:r>
      <w:r w:rsidR="00B94A0C" w:rsidRPr="00404A5C">
        <w:rPr>
          <w:rFonts w:ascii="Calibri" w:hAnsi="Calibri" w:cs="Calibri"/>
          <w:b/>
          <w:noProof/>
        </w:rPr>
        <w:drawing>
          <wp:inline distT="0" distB="0" distL="0" distR="0" wp14:anchorId="4C16C1CD" wp14:editId="2015B6BB">
            <wp:extent cx="1861073" cy="1377387"/>
            <wp:effectExtent l="0" t="0" r="6350" b="0"/>
            <wp:docPr id="3" name="图片 3" descr="C:\Users\Administrator\Desktop\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001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78" t="9179" r="19401" b="5006"/>
                    <a:stretch/>
                  </pic:blipFill>
                  <pic:spPr bwMode="auto">
                    <a:xfrm>
                      <a:off x="0" y="0"/>
                      <a:ext cx="1877956" cy="138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18A1" w:rsidRPr="00404A5C">
        <w:rPr>
          <w:rFonts w:ascii="Calibri" w:hAnsi="Calibri" w:cs="Calibri"/>
        </w:rPr>
        <w:t xml:space="preserve"> </w:t>
      </w:r>
      <w:r w:rsidR="0042641C" w:rsidRPr="00404A5C">
        <w:rPr>
          <w:rFonts w:ascii="Calibri" w:hAnsi="Calibri" w:cs="Calibri"/>
          <w:noProof/>
        </w:rPr>
        <w:drawing>
          <wp:inline distT="0" distB="0" distL="0" distR="0" wp14:anchorId="7C0FF4EE" wp14:editId="0B3435DE">
            <wp:extent cx="1925619" cy="1283746"/>
            <wp:effectExtent l="0" t="0" r="5080" b="0"/>
            <wp:docPr id="4" name="图片 4" descr="C:\Users\Administrator\Desktop\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002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25" t="11111" r="19318" b="10007"/>
                    <a:stretch/>
                  </pic:blipFill>
                  <pic:spPr bwMode="auto">
                    <a:xfrm>
                      <a:off x="0" y="0"/>
                      <a:ext cx="1968621" cy="131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E26D47" w14:textId="77777777" w:rsidR="001544FA" w:rsidRPr="00404A5C" w:rsidRDefault="004B2E46" w:rsidP="00404A5C">
      <w:pPr>
        <w:pStyle w:val="a"/>
        <w:snapToGrid w:val="0"/>
        <w:jc w:val="both"/>
        <w:rPr>
          <w:rFonts w:ascii="Calibri" w:hAnsi="Calibri" w:cs="Calibri"/>
        </w:rPr>
      </w:pPr>
      <w:r w:rsidRPr="00404A5C">
        <w:rPr>
          <w:rFonts w:ascii="Calibri" w:hAnsi="Calibri" w:cs="Calibri"/>
          <w:b/>
        </w:rPr>
        <w:t>References</w:t>
      </w:r>
    </w:p>
    <w:p w14:paraId="1E8703AD" w14:textId="77777777" w:rsidR="00FC30D5" w:rsidRPr="00404A5C" w:rsidRDefault="004B2E46" w:rsidP="00404A5C">
      <w:pPr>
        <w:pStyle w:val="a"/>
        <w:snapToGrid w:val="0"/>
        <w:jc w:val="both"/>
        <w:rPr>
          <w:rFonts w:ascii="Calibri" w:hAnsi="Calibri" w:cs="Calibri"/>
        </w:rPr>
      </w:pPr>
      <w:r w:rsidRPr="00404A5C">
        <w:rPr>
          <w:rFonts w:ascii="Calibri" w:hAnsi="Calibri" w:cs="Calibri"/>
        </w:rPr>
        <w:t>[1] Shi, J.</w:t>
      </w:r>
      <w:r w:rsidR="00382411" w:rsidRPr="00404A5C">
        <w:rPr>
          <w:rFonts w:ascii="Calibri" w:hAnsi="Calibri" w:cs="Calibri"/>
        </w:rPr>
        <w:t xml:space="preserve"> et al.</w:t>
      </w:r>
      <w:r w:rsidRPr="00404A5C">
        <w:rPr>
          <w:rFonts w:ascii="Calibri" w:hAnsi="Calibri" w:cs="Calibri"/>
        </w:rPr>
        <w:t xml:space="preserve"> Trends Anal. Chem., 2019, 117:263-279</w:t>
      </w:r>
      <w:r w:rsidR="00404A5C">
        <w:rPr>
          <w:rFonts w:ascii="Calibri" w:hAnsi="Calibri" w:cs="Calibri"/>
        </w:rPr>
        <w:t xml:space="preserve">; </w:t>
      </w:r>
      <w:r w:rsidR="001B39AB" w:rsidRPr="00404A5C">
        <w:rPr>
          <w:rFonts w:ascii="Calibri" w:hAnsi="Calibri" w:cs="Calibri"/>
        </w:rPr>
        <w:t xml:space="preserve">[2] </w:t>
      </w:r>
      <w:proofErr w:type="spellStart"/>
      <w:r w:rsidR="001B39AB" w:rsidRPr="00404A5C">
        <w:rPr>
          <w:rFonts w:ascii="Calibri" w:hAnsi="Calibri" w:cs="Calibri"/>
        </w:rPr>
        <w:t>Khetani</w:t>
      </w:r>
      <w:proofErr w:type="spellEnd"/>
      <w:r w:rsidR="001B39AB" w:rsidRPr="00404A5C">
        <w:rPr>
          <w:rFonts w:ascii="Calibri" w:hAnsi="Calibri" w:cs="Calibri"/>
        </w:rPr>
        <w:t xml:space="preserve"> S</w:t>
      </w:r>
      <w:r w:rsidR="008F3440" w:rsidRPr="00404A5C">
        <w:rPr>
          <w:rFonts w:ascii="Calibri" w:hAnsi="Calibri" w:cs="Calibri"/>
        </w:rPr>
        <w:t>.</w:t>
      </w:r>
      <w:r w:rsidR="001B39AB" w:rsidRPr="00404A5C">
        <w:rPr>
          <w:rFonts w:ascii="Calibri" w:hAnsi="Calibri" w:cs="Calibri"/>
        </w:rPr>
        <w:t xml:space="preserve"> R</w:t>
      </w:r>
      <w:r w:rsidR="008F3440" w:rsidRPr="00404A5C">
        <w:rPr>
          <w:rFonts w:ascii="Calibri" w:hAnsi="Calibri" w:cs="Calibri"/>
        </w:rPr>
        <w:t>.</w:t>
      </w:r>
      <w:r w:rsidRPr="00404A5C">
        <w:rPr>
          <w:rFonts w:ascii="Calibri" w:hAnsi="Calibri" w:cs="Calibri"/>
        </w:rPr>
        <w:t>, Bhatia S</w:t>
      </w:r>
      <w:r w:rsidR="008F3440" w:rsidRPr="00404A5C">
        <w:rPr>
          <w:rFonts w:ascii="Calibri" w:hAnsi="Calibri" w:cs="Calibri"/>
        </w:rPr>
        <w:t>.</w:t>
      </w:r>
      <w:r w:rsidRPr="00404A5C">
        <w:rPr>
          <w:rFonts w:ascii="Calibri" w:hAnsi="Calibri" w:cs="Calibri"/>
        </w:rPr>
        <w:t xml:space="preserve"> </w:t>
      </w:r>
      <w:proofErr w:type="gramStart"/>
      <w:r w:rsidRPr="00404A5C">
        <w:rPr>
          <w:rFonts w:ascii="Calibri" w:hAnsi="Calibri" w:cs="Calibri"/>
        </w:rPr>
        <w:t>N</w:t>
      </w:r>
      <w:r w:rsidR="008F3440" w:rsidRPr="00404A5C">
        <w:rPr>
          <w:rFonts w:ascii="Calibri" w:hAnsi="Calibri" w:cs="Calibri"/>
        </w:rPr>
        <w:t>.</w:t>
      </w:r>
      <w:r w:rsidRPr="00404A5C">
        <w:rPr>
          <w:rFonts w:ascii="Calibri" w:hAnsi="Calibri" w:cs="Calibri"/>
        </w:rPr>
        <w:t>.</w:t>
      </w:r>
      <w:proofErr w:type="gramEnd"/>
      <w:r w:rsidRPr="00404A5C">
        <w:rPr>
          <w:rFonts w:ascii="Calibri" w:hAnsi="Calibri" w:cs="Calibri"/>
        </w:rPr>
        <w:t xml:space="preserve"> </w:t>
      </w:r>
      <w:r w:rsidR="001B39AB" w:rsidRPr="00404A5C">
        <w:rPr>
          <w:rFonts w:ascii="Calibri" w:hAnsi="Calibri" w:cs="Calibri"/>
        </w:rPr>
        <w:t>Nature Biotech</w:t>
      </w:r>
      <w:r w:rsidR="00404A5C">
        <w:rPr>
          <w:rFonts w:ascii="Calibri" w:hAnsi="Calibri" w:cs="Calibri"/>
        </w:rPr>
        <w:t>.</w:t>
      </w:r>
      <w:r w:rsidR="001B39AB" w:rsidRPr="00404A5C">
        <w:rPr>
          <w:rFonts w:ascii="Calibri" w:hAnsi="Calibri" w:cs="Calibri"/>
        </w:rPr>
        <w:t xml:space="preserve">, </w:t>
      </w:r>
      <w:r w:rsidRPr="00404A5C">
        <w:rPr>
          <w:rFonts w:ascii="Calibri" w:hAnsi="Calibri" w:cs="Calibri"/>
        </w:rPr>
        <w:t>2007, 26(1):120-126</w:t>
      </w:r>
      <w:r w:rsidR="00404A5C">
        <w:rPr>
          <w:rFonts w:ascii="Calibri" w:hAnsi="Calibri" w:cs="Calibri"/>
        </w:rPr>
        <w:t xml:space="preserve">; </w:t>
      </w:r>
      <w:r w:rsidRPr="00404A5C">
        <w:rPr>
          <w:rFonts w:ascii="Calibri" w:hAnsi="Calibri" w:cs="Calibri"/>
        </w:rPr>
        <w:t xml:space="preserve">[3] </w:t>
      </w:r>
      <w:proofErr w:type="spellStart"/>
      <w:r w:rsidRPr="00404A5C">
        <w:rPr>
          <w:rFonts w:ascii="Calibri" w:hAnsi="Calibri" w:cs="Calibri"/>
        </w:rPr>
        <w:t>Weltin</w:t>
      </w:r>
      <w:proofErr w:type="spellEnd"/>
      <w:r w:rsidRPr="00404A5C">
        <w:rPr>
          <w:rFonts w:ascii="Calibri" w:hAnsi="Calibri" w:cs="Calibri"/>
        </w:rPr>
        <w:t>, A., et al., Lab Chip, 2014. 14(1): p. 138-146</w:t>
      </w:r>
      <w:r w:rsidR="00404A5C">
        <w:rPr>
          <w:rFonts w:ascii="Calibri" w:hAnsi="Calibri" w:cs="Calibri"/>
        </w:rPr>
        <w:t xml:space="preserve">; </w:t>
      </w:r>
      <w:r w:rsidR="00FC30D5" w:rsidRPr="00404A5C">
        <w:rPr>
          <w:rFonts w:ascii="Calibri" w:hAnsi="Calibri" w:cs="Calibri"/>
        </w:rPr>
        <w:t>[4] Zhang F</w:t>
      </w:r>
      <w:r w:rsidR="008F3440" w:rsidRPr="00404A5C">
        <w:rPr>
          <w:rFonts w:ascii="Calibri" w:hAnsi="Calibri" w:cs="Calibri"/>
        </w:rPr>
        <w:t>.</w:t>
      </w:r>
      <w:r w:rsidR="00404A5C">
        <w:rPr>
          <w:rFonts w:ascii="Calibri" w:hAnsi="Calibri" w:cs="Calibri"/>
        </w:rPr>
        <w:t xml:space="preserve"> </w:t>
      </w:r>
      <w:r w:rsidR="00FC30D5" w:rsidRPr="00404A5C">
        <w:rPr>
          <w:rFonts w:ascii="Calibri" w:hAnsi="Calibri" w:cs="Calibri"/>
        </w:rPr>
        <w:t>et al. Sens</w:t>
      </w:r>
      <w:r w:rsidR="00404A5C">
        <w:rPr>
          <w:rFonts w:ascii="Calibri" w:hAnsi="Calibri" w:cs="Calibri"/>
        </w:rPr>
        <w:t>. &amp;</w:t>
      </w:r>
      <w:r w:rsidR="00FC30D5" w:rsidRPr="00404A5C">
        <w:rPr>
          <w:rFonts w:ascii="Calibri" w:hAnsi="Calibri" w:cs="Calibri"/>
        </w:rPr>
        <w:t xml:space="preserve"> </w:t>
      </w:r>
      <w:proofErr w:type="spellStart"/>
      <w:r w:rsidR="00FC30D5" w:rsidRPr="00404A5C">
        <w:rPr>
          <w:rFonts w:ascii="Calibri" w:hAnsi="Calibri" w:cs="Calibri"/>
        </w:rPr>
        <w:t>Actu</w:t>
      </w:r>
      <w:proofErr w:type="spellEnd"/>
      <w:r w:rsidR="00404A5C">
        <w:rPr>
          <w:rFonts w:ascii="Calibri" w:hAnsi="Calibri" w:cs="Calibri"/>
        </w:rPr>
        <w:t>.</w:t>
      </w:r>
      <w:r w:rsidR="00FC30D5" w:rsidRPr="00404A5C">
        <w:rPr>
          <w:rFonts w:ascii="Calibri" w:hAnsi="Calibri" w:cs="Calibri"/>
        </w:rPr>
        <w:t xml:space="preserve"> B: Chemical, 2011(156): 416-422</w:t>
      </w:r>
      <w:r w:rsidR="00404A5C">
        <w:rPr>
          <w:rFonts w:ascii="Calibri" w:hAnsi="Calibri" w:cs="Calibri"/>
        </w:rPr>
        <w:t xml:space="preserve">; </w:t>
      </w:r>
      <w:r w:rsidR="00FC30D5" w:rsidRPr="00404A5C">
        <w:rPr>
          <w:rFonts w:ascii="Calibri" w:hAnsi="Calibri" w:cs="Calibri"/>
        </w:rPr>
        <w:t xml:space="preserve">[5] </w:t>
      </w:r>
      <w:proofErr w:type="spellStart"/>
      <w:r w:rsidR="00FC30D5" w:rsidRPr="00404A5C">
        <w:rPr>
          <w:rFonts w:ascii="Calibri" w:hAnsi="Calibri" w:cs="Calibri"/>
        </w:rPr>
        <w:t>Unterluggauer</w:t>
      </w:r>
      <w:proofErr w:type="spellEnd"/>
      <w:r w:rsidR="00FC30D5" w:rsidRPr="00404A5C">
        <w:rPr>
          <w:rFonts w:ascii="Calibri" w:hAnsi="Calibri" w:cs="Calibri"/>
        </w:rPr>
        <w:t xml:space="preserve"> H</w:t>
      </w:r>
      <w:r w:rsidR="008F3440" w:rsidRPr="00404A5C">
        <w:rPr>
          <w:rFonts w:ascii="Calibri" w:hAnsi="Calibri" w:cs="Calibri"/>
        </w:rPr>
        <w:t>.</w:t>
      </w:r>
      <w:r w:rsidR="00FC30D5" w:rsidRPr="00404A5C">
        <w:rPr>
          <w:rFonts w:ascii="Calibri" w:hAnsi="Calibri" w:cs="Calibri"/>
        </w:rPr>
        <w:t>, et al.</w:t>
      </w:r>
      <w:r w:rsidR="00404A5C">
        <w:rPr>
          <w:rFonts w:ascii="Calibri" w:hAnsi="Calibri" w:cs="Calibri"/>
        </w:rPr>
        <w:t xml:space="preserve">, </w:t>
      </w:r>
      <w:r w:rsidR="00FC30D5" w:rsidRPr="00404A5C">
        <w:rPr>
          <w:rFonts w:ascii="Calibri" w:hAnsi="Calibri" w:cs="Calibri"/>
        </w:rPr>
        <w:t>Biogerontology, 2008(9): 247-259.</w:t>
      </w:r>
    </w:p>
    <w:sectPr w:rsidR="00FC30D5" w:rsidRPr="00404A5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FFC55" w14:textId="77777777" w:rsidR="00703350" w:rsidRDefault="00703350" w:rsidP="001B39AB">
      <w:r>
        <w:separator/>
      </w:r>
    </w:p>
  </w:endnote>
  <w:endnote w:type="continuationSeparator" w:id="0">
    <w:p w14:paraId="0EDAD96B" w14:textId="77777777" w:rsidR="00703350" w:rsidRDefault="00703350" w:rsidP="001B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erif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6D7DC" w14:textId="77777777" w:rsidR="00703350" w:rsidRDefault="00703350" w:rsidP="001B39AB">
      <w:r>
        <w:separator/>
      </w:r>
    </w:p>
  </w:footnote>
  <w:footnote w:type="continuationSeparator" w:id="0">
    <w:p w14:paraId="06FD40D3" w14:textId="77777777" w:rsidR="00703350" w:rsidRDefault="00703350" w:rsidP="001B3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D15C3"/>
    <w:multiLevelType w:val="hybridMultilevel"/>
    <w:tmpl w:val="62F02126"/>
    <w:lvl w:ilvl="0" w:tplc="2A4893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4FA"/>
    <w:rsid w:val="00000F16"/>
    <w:rsid w:val="00017B63"/>
    <w:rsid w:val="00064697"/>
    <w:rsid w:val="001544FA"/>
    <w:rsid w:val="001B39AB"/>
    <w:rsid w:val="001C508E"/>
    <w:rsid w:val="00256F3F"/>
    <w:rsid w:val="002723E3"/>
    <w:rsid w:val="00307A5C"/>
    <w:rsid w:val="00382411"/>
    <w:rsid w:val="003D7FB7"/>
    <w:rsid w:val="00404A5C"/>
    <w:rsid w:val="0042641C"/>
    <w:rsid w:val="004B2E46"/>
    <w:rsid w:val="00645817"/>
    <w:rsid w:val="006D2439"/>
    <w:rsid w:val="00703350"/>
    <w:rsid w:val="007F76FC"/>
    <w:rsid w:val="008A4CDB"/>
    <w:rsid w:val="008A54B4"/>
    <w:rsid w:val="008D0778"/>
    <w:rsid w:val="008E36DE"/>
    <w:rsid w:val="008F3440"/>
    <w:rsid w:val="0097219B"/>
    <w:rsid w:val="00AF3E40"/>
    <w:rsid w:val="00B94A0C"/>
    <w:rsid w:val="00C077DE"/>
    <w:rsid w:val="00DC02D8"/>
    <w:rsid w:val="00E15519"/>
    <w:rsid w:val="00EC5F5D"/>
    <w:rsid w:val="00FC0316"/>
    <w:rsid w:val="00FC30D5"/>
    <w:rsid w:val="00FF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49017"/>
  <w15:docId w15:val="{14DC03D0-13C9-4D96-9E13-DEAA517F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YaHei" w:eastAsia="Microsoft YaHei" w:hAnsi="Microsoft YaHei" w:cs="Microsoft YaHei"/>
        <w:sz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石墨文档正文"/>
    <w:qFormat/>
    <w:rPr>
      <w:szCs w:val="22"/>
    </w:rPr>
  </w:style>
  <w:style w:type="paragraph" w:customStyle="1" w:styleId="a0">
    <w:name w:val="石墨文档副标题"/>
    <w:qFormat/>
    <w:rPr>
      <w:color w:val="888888"/>
      <w:sz w:val="48"/>
      <w:szCs w:val="48"/>
    </w:rPr>
  </w:style>
  <w:style w:type="paragraph" w:customStyle="1" w:styleId="a1">
    <w:name w:val="石墨文档大标题"/>
    <w:next w:val="a"/>
    <w:uiPriority w:val="9"/>
    <w:unhideWhenUsed/>
    <w:qFormat/>
    <w:pPr>
      <w:spacing w:before="260" w:after="260"/>
      <w:outlineLvl w:val="0"/>
    </w:pPr>
    <w:rPr>
      <w:b/>
      <w:bCs/>
      <w:sz w:val="40"/>
      <w:szCs w:val="40"/>
    </w:rPr>
  </w:style>
  <w:style w:type="paragraph" w:customStyle="1" w:styleId="a2">
    <w:name w:val="石墨文档中标题"/>
    <w:next w:val="a"/>
    <w:uiPriority w:val="9"/>
    <w:unhideWhenUsed/>
    <w:qFormat/>
    <w:pPr>
      <w:spacing w:before="260" w:after="260"/>
      <w:outlineLvl w:val="1"/>
    </w:pPr>
    <w:rPr>
      <w:b/>
      <w:bCs/>
      <w:sz w:val="36"/>
      <w:szCs w:val="36"/>
    </w:rPr>
  </w:style>
  <w:style w:type="paragraph" w:customStyle="1" w:styleId="a3">
    <w:name w:val="石墨文档小标题"/>
    <w:next w:val="a"/>
    <w:uiPriority w:val="9"/>
    <w:unhideWhenUsed/>
    <w:qFormat/>
    <w:pPr>
      <w:spacing w:before="260" w:after="260"/>
      <w:outlineLvl w:val="2"/>
    </w:pPr>
    <w:rPr>
      <w:b/>
      <w:bCs/>
      <w:sz w:val="32"/>
      <w:szCs w:val="32"/>
    </w:rPr>
  </w:style>
  <w:style w:type="paragraph" w:customStyle="1" w:styleId="a4">
    <w:name w:val="石墨文档标题"/>
    <w:next w:val="a"/>
    <w:uiPriority w:val="9"/>
    <w:unhideWhenUsed/>
    <w:qFormat/>
    <w:pPr>
      <w:spacing w:before="260" w:after="260"/>
      <w:outlineLvl w:val="3"/>
    </w:pPr>
    <w:rPr>
      <w:b/>
      <w:bCs/>
      <w:sz w:val="56"/>
      <w:szCs w:val="56"/>
    </w:rPr>
  </w:style>
  <w:style w:type="paragraph" w:customStyle="1" w:styleId="a5">
    <w:name w:val="石墨文档引用"/>
    <w:qFormat/>
    <w:pPr>
      <w:pBdr>
        <w:left w:val="single" w:sz="30" w:space="10" w:color="F0F0F0"/>
      </w:pBdr>
    </w:pPr>
    <w:rPr>
      <w:color w:val="ADADAD"/>
    </w:rPr>
  </w:style>
  <w:style w:type="paragraph" w:styleId="Header">
    <w:name w:val="header"/>
    <w:basedOn w:val="Normal"/>
    <w:link w:val="HeaderChar"/>
    <w:uiPriority w:val="99"/>
    <w:unhideWhenUsed/>
    <w:rsid w:val="001B3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B39A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B3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B39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 tong</dc:creator>
  <cp:lastModifiedBy>Zoe Keogh</cp:lastModifiedBy>
  <cp:revision>2</cp:revision>
  <dcterms:created xsi:type="dcterms:W3CDTF">2019-11-20T02:20:00Z</dcterms:created>
  <dcterms:modified xsi:type="dcterms:W3CDTF">2019-11-20T02:20:00Z</dcterms:modified>
</cp:coreProperties>
</file>