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6F1B9" w14:textId="716DC7E7" w:rsidR="00C315D2" w:rsidRPr="00C315D2" w:rsidRDefault="00E32FE3" w:rsidP="00E32FE3">
      <w:pPr>
        <w:spacing w:after="0" w:line="240" w:lineRule="auto"/>
        <w:rPr>
          <w:rFonts w:ascii="Arial" w:eastAsia="Calibri" w:hAnsi="Arial" w:cs="Calibri"/>
          <w:b/>
          <w:bCs/>
          <w:kern w:val="0"/>
          <w:lang w:val="en-US"/>
          <w14:ligatures w14:val="none"/>
        </w:rPr>
      </w:pP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Combining 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S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ame-target 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D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rugs 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E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xhibits 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A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dditive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 Effi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cacy with 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M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inimal </w:t>
      </w:r>
      <w:r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T</w:t>
      </w:r>
      <w:r w:rsidRPr="00E32FE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>oxicity</w:t>
      </w:r>
      <w:r w:rsidR="00F949F3" w:rsidRPr="00F949F3">
        <w:rPr>
          <w:rFonts w:ascii="Arial" w:eastAsia="Calibri" w:hAnsi="Arial" w:cs="Calibri"/>
          <w:b/>
          <w:bCs/>
          <w:kern w:val="0"/>
          <w:lang w:val="en-US"/>
          <w14:ligatures w14:val="none"/>
        </w:rPr>
        <w:t xml:space="preserve"> </w:t>
      </w:r>
    </w:p>
    <w:p w14:paraId="4436E008" w14:textId="22096BEC" w:rsidR="00D752AB" w:rsidRPr="00D752AB" w:rsidRDefault="00D752AB" w:rsidP="00D752AB">
      <w:pPr>
        <w:spacing w:after="0" w:line="240" w:lineRule="auto"/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</w:pPr>
      <w:r w:rsidRPr="001260A0">
        <w:rPr>
          <w:rFonts w:ascii="Arial" w:eastAsia="Calibri" w:hAnsi="Arial" w:cs="Calibri"/>
          <w:kern w:val="0"/>
          <w:sz w:val="20"/>
          <w:szCs w:val="20"/>
          <w14:ligatures w14:val="none"/>
        </w:rPr>
        <w:t>Yi Wang, Feng Xu, Qian Zhao, Hong-Fu Li, Xuan Wang,</w:t>
      </w:r>
      <w:r w:rsidRPr="00D752AB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 xml:space="preserve"> </w:t>
      </w:r>
      <w:r w:rsidRPr="00D752AB"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 xml:space="preserve">Shao-Qing Cai*   </w:t>
      </w:r>
    </w:p>
    <w:p w14:paraId="79141BD9" w14:textId="0DE593DB" w:rsidR="00C315D2" w:rsidRPr="003E45B0" w:rsidRDefault="00D752AB" w:rsidP="00D752AB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D752AB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State Key Laboratory of Natural and Biomimetic Drugs, Peking University Health Science Centre; Beijing 100191, China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. </w:t>
      </w:r>
      <w:r w:rsidR="005A5E7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Pr="003E45B0">
        <w:rPr>
          <w:rFonts w:ascii="Arial" w:eastAsia="Calibri" w:hAnsi="Arial" w:cs="Calibri"/>
          <w:kern w:val="0"/>
          <w:sz w:val="20"/>
          <w:szCs w:val="20"/>
          <w14:ligatures w14:val="none"/>
        </w:rPr>
        <w:t xml:space="preserve">* Corresponding author. Email: sqcai@hsc.pku.edu.cn </w:t>
      </w:r>
      <w:r w:rsidR="00C315D2" w:rsidRPr="003E45B0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47D76891" w14:textId="2F6D08CE" w:rsidR="00C315D2" w:rsidRPr="00C315D2" w:rsidRDefault="00C315D2" w:rsidP="4FE71DF4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</w:p>
    <w:p w14:paraId="2DD37039" w14:textId="77777777" w:rsidR="00C315D2" w:rsidRPr="00C315D2" w:rsidRDefault="00C315D2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Cs/>
          <w:i/>
          <w:kern w:val="0"/>
          <w:sz w:val="20"/>
          <w:szCs w:val="20"/>
          <w:lang w:val="en-US"/>
          <w14:ligatures w14:val="none"/>
        </w:rPr>
        <w:t xml:space="preserve"> </w:t>
      </w:r>
    </w:p>
    <w:p w14:paraId="189D6710" w14:textId="77777777" w:rsidR="00742656" w:rsidRDefault="00B8473A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Background and aims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Drug toxicity is an unresolved</w:t>
      </w:r>
      <w:r w:rsidR="00D752AB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obstacle to the efficacy of chemotherapy drugs for cancer.</w:t>
      </w:r>
      <w:r w:rsidR="00B97C2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00017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We show a</w:t>
      </w:r>
      <w:r w:rsidR="00000172" w:rsidRPr="0000017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way to </w:t>
      </w:r>
      <w:r w:rsidR="005A5E79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great</w:t>
      </w:r>
      <w:r w:rsidR="00000172" w:rsidRPr="0000017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ly reduce drug toxicity</w:t>
      </w:r>
      <w:r w:rsidR="0000017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here.</w:t>
      </w:r>
    </w:p>
    <w:p w14:paraId="15D93483" w14:textId="76223021" w:rsidR="00C315D2" w:rsidRPr="00C315D2" w:rsidRDefault="0000017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  <w:r w:rsidRPr="0000017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cr/>
      </w:r>
    </w:p>
    <w:p w14:paraId="48C0479A" w14:textId="69879B10" w:rsidR="00C315D2" w:rsidRDefault="00C315D2" w:rsidP="00E32FE3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Methods.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Based on our ‘additive effect’</w:t>
      </w:r>
      <w:r w:rsid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and ‘toxicity scattering effect’ hypothesis, we propose a unique drug-combination strategy</w:t>
      </w:r>
      <w:r w:rsid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to overcome drug toxicities: combining 8–10 drugs that act on</w:t>
      </w:r>
      <w:r w:rsid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the same target at ineffective</w:t>
      </w:r>
      <w:r w:rsid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doses (much lower than their usual doses) to dramatically reduce the toxicity of each drug</w:t>
      </w:r>
      <w:r w:rsidR="00B97C2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without weakening the efficacy of the combination.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1254B53E" w14:textId="77777777" w:rsidR="00742656" w:rsidRPr="00C315D2" w:rsidRDefault="00742656" w:rsidP="00E32FE3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</w:p>
    <w:p w14:paraId="1387B9C3" w14:textId="77777777" w:rsidR="00C315D2" w:rsidRPr="00C315D2" w:rsidRDefault="00C315D2" w:rsidP="00C315D2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lang w:val="en-GB"/>
          <w14:ligatures w14:val="none"/>
        </w:rPr>
      </w:pPr>
    </w:p>
    <w:p w14:paraId="0EDBBD5F" w14:textId="1FF10929" w:rsidR="00E32FE3" w:rsidRPr="00E32FE3" w:rsidRDefault="00795378" w:rsidP="00E32FE3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Results.</w:t>
      </w:r>
      <w:r w:rsidR="00C315D2" w:rsidRPr="00C315D2">
        <w:rPr>
          <w:rFonts w:ascii="Calibri" w:eastAsia="Calibri" w:hAnsi="Calibri" w:cs="Times New Roman"/>
          <w:kern w:val="0"/>
          <w:lang w:val="en-GB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Using this strategy, we developed an</w:t>
      </w:r>
      <w:r w:rsid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anticancer combination of 8 drugs (topoisomerase II inhibitors); each drug was included at</w:t>
      </w:r>
      <w:r w:rsid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7.7%–19.5% of its minimum effective dose. This combination prolonged life by 92.8% in</w:t>
      </w:r>
      <w:r w:rsid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ascites </w:t>
      </w:r>
      <w:proofErr w:type="spellStart"/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tumour</w:t>
      </w:r>
      <w:proofErr w:type="spellEnd"/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-bearing mice and inhibited </w:t>
      </w:r>
      <w:proofErr w:type="spellStart"/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tumour</w:t>
      </w:r>
      <w:proofErr w:type="spellEnd"/>
      <w:r w:rsidR="00E32FE3"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growth by 54.3% in solid</w:t>
      </w:r>
    </w:p>
    <w:p w14:paraId="58EE2702" w14:textId="03505F8C" w:rsidR="00C315D2" w:rsidRDefault="00E32FE3" w:rsidP="00E32FE3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proofErr w:type="spellStart"/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tumour</w:t>
      </w:r>
      <w:proofErr w:type="spellEnd"/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-bearing mice, without causing mortality or detectable liver, cardiac, or renal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toxicity. At an average of 1/3 of the combination dose, each drug alone resulted in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ineffective </w:t>
      </w:r>
      <w:proofErr w:type="spellStart"/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tumour</w:t>
      </w:r>
      <w:proofErr w:type="spellEnd"/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inhibition (only 24.6%–34.5% reduction) but caused a 10%–50%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mortality. As number of drugs in the combination increased from 1 to 4 to 8, the dose of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each drug and the overall toxicity progressively decreased</w:t>
      </w:r>
      <w:r w:rsidR="005A5E79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(Figure 1)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.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Combinations of four or six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topoisomerase II inhibitors at low concentrations inhibited the proliferation of cancer cell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lines and the activity of topoisomerase II, revealing an evident additive effect on the same</w:t>
      </w:r>
      <w:r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</w:t>
      </w:r>
      <w:r w:rsidRPr="00E32FE3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target.</w:t>
      </w:r>
    </w:p>
    <w:p w14:paraId="3D6E2DE4" w14:textId="77777777" w:rsidR="007C1991" w:rsidRPr="00C315D2" w:rsidRDefault="007C1991" w:rsidP="00E32FE3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bookmarkStart w:id="0" w:name="_GoBack"/>
      <w:bookmarkEnd w:id="0"/>
    </w:p>
    <w:p w14:paraId="37683296" w14:textId="416567CE" w:rsidR="00C315D2" w:rsidRDefault="00702B7A" w:rsidP="00702B7A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/>
          <w:noProof/>
          <w:kern w:val="0"/>
          <w:sz w:val="20"/>
          <w:szCs w:val="20"/>
        </w:rPr>
        <w:drawing>
          <wp:inline distT="0" distB="0" distL="0" distR="0" wp14:anchorId="79FF9B8A" wp14:editId="22D0B5ED">
            <wp:extent cx="3019920" cy="1534665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40726084936.jpg"/>
                    <pic:cNvPicPr/>
                  </pic:nvPicPr>
                  <pic:blipFill rotWithShape="1">
                    <a:blip r:embed="rId10"/>
                    <a:srcRect b="70622"/>
                    <a:stretch/>
                  </pic:blipFill>
                  <pic:spPr bwMode="auto">
                    <a:xfrm>
                      <a:off x="0" y="0"/>
                      <a:ext cx="3025156" cy="153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Calibri"/>
          <w:b/>
          <w:noProof/>
          <w:kern w:val="0"/>
          <w:sz w:val="20"/>
          <w:szCs w:val="20"/>
        </w:rPr>
        <w:t xml:space="preserve">         </w:t>
      </w:r>
      <w:r>
        <w:rPr>
          <w:rFonts w:ascii="Arial" w:eastAsia="Calibri" w:hAnsi="Arial" w:cs="Calibri"/>
          <w:b/>
          <w:noProof/>
          <w:kern w:val="0"/>
          <w:sz w:val="20"/>
          <w:szCs w:val="20"/>
        </w:rPr>
        <w:drawing>
          <wp:inline distT="0" distB="0" distL="0" distR="0" wp14:anchorId="77326086" wp14:editId="53353C42">
            <wp:extent cx="2440377" cy="16070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40726084936.jpg"/>
                    <pic:cNvPicPr/>
                  </pic:nvPicPr>
                  <pic:blipFill rotWithShape="1">
                    <a:blip r:embed="rId10"/>
                    <a:srcRect t="29486" b="32445"/>
                    <a:stretch/>
                  </pic:blipFill>
                  <pic:spPr bwMode="auto">
                    <a:xfrm>
                      <a:off x="0" y="0"/>
                      <a:ext cx="2444319" cy="160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C9FEF" w14:textId="77777777" w:rsidR="001158AF" w:rsidRDefault="001158AF" w:rsidP="00E32FE3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7271A92D" w14:textId="1D1E3C47" w:rsidR="001158AF" w:rsidRPr="007C1991" w:rsidRDefault="001158AF" w:rsidP="00D752AB">
      <w:pPr>
        <w:spacing w:after="0" w:line="240" w:lineRule="auto"/>
        <w:ind w:firstLineChars="1350" w:firstLine="2439"/>
        <w:jc w:val="both"/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</w:pPr>
      <w:r w:rsidRPr="007C1991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>Fig</w:t>
      </w:r>
      <w:r w:rsidRPr="007C1991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>ure1</w:t>
      </w:r>
      <w:r w:rsidRPr="007C1991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 xml:space="preserve">.  Schematic for </w:t>
      </w:r>
      <w:r w:rsidR="00D752AB" w:rsidRPr="007C1991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>our</w:t>
      </w:r>
      <w:r w:rsidRPr="007C1991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 xml:space="preserve"> main findings </w:t>
      </w:r>
    </w:p>
    <w:p w14:paraId="59ECAFA9" w14:textId="77777777" w:rsidR="00843F80" w:rsidRDefault="001158AF" w:rsidP="00E32FE3">
      <w:pPr>
        <w:spacing w:after="0" w:line="240" w:lineRule="auto"/>
        <w:jc w:val="both"/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</w:pPr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 </w:t>
      </w:r>
      <w:r w:rsidRPr="00D752AB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>a</w:t>
      </w:r>
      <w:r w:rsidRPr="00D752AB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>.</w:t>
      </w:r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 The anticancer efficacy of the eight drugs in the combination was additive, based on the summation (8/8) of fractional doses of all eight drugs act</w:t>
      </w:r>
      <w:r w:rsidR="00D752AB"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ing</w:t>
      </w:r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 on the same target</w:t>
      </w:r>
      <w:r w:rsidR="001260A0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,</w:t>
      </w:r>
      <w:r w:rsidR="005A5E79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 </w:t>
      </w:r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TOPO II. The toxicities of the eight drugs in the combination were scattered, due to smaller and varying doses or potencies (1/8–4/8). The toxicity scatter effect depends on the number of drugs acting on the same individual ‘toxicity target</w:t>
      </w:r>
      <w:bookmarkStart w:id="1" w:name="OLE_LINK277"/>
      <w:bookmarkStart w:id="2" w:name="OLE_LINK278"/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’</w:t>
      </w:r>
      <w:bookmarkEnd w:id="1"/>
      <w:bookmarkEnd w:id="2"/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, exemplified by toxicities affecting on the liver, heart, and kidney.</w:t>
      </w:r>
      <w:r w:rsidRPr="00D752AB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 xml:space="preserve"> </w:t>
      </w:r>
      <w:r w:rsidR="00843F80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 xml:space="preserve">  </w:t>
      </w:r>
      <w:r w:rsidRPr="00D752AB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>b</w:t>
      </w:r>
      <w:r w:rsidRPr="00D752AB">
        <w:rPr>
          <w:rFonts w:ascii="Arial" w:eastAsia="Calibri" w:hAnsi="Arial" w:cs="Calibri"/>
          <w:b/>
          <w:kern w:val="0"/>
          <w:sz w:val="18"/>
          <w:szCs w:val="18"/>
          <w:lang w:val="en-US"/>
          <w14:ligatures w14:val="none"/>
        </w:rPr>
        <w:t xml:space="preserve">. </w:t>
      </w:r>
      <w:r w:rsidRPr="00D752A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The more drugs acting on the same target in combination, the lower the dose of each drug to achieve the efficacy and the higher the likelihood of a ‘toxicity scattering effect’. </w:t>
      </w:r>
    </w:p>
    <w:p w14:paraId="3E6DA62F" w14:textId="12B236CA" w:rsidR="001158AF" w:rsidRDefault="008F01BB" w:rsidP="00E32FE3">
      <w:pPr>
        <w:spacing w:after="0" w:line="240" w:lineRule="auto"/>
        <w:jc w:val="both"/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</w:pPr>
      <w:r w:rsidRPr="008F01B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TIR, </w:t>
      </w:r>
      <w:proofErr w:type="spellStart"/>
      <w:r w:rsidRPr="008F01B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tumour</w:t>
      </w:r>
      <w:proofErr w:type="spellEnd"/>
      <w:r w:rsidRPr="008F01BB"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 xml:space="preserve"> inhibition rate</w:t>
      </w:r>
      <w:r>
        <w:rPr>
          <w:rFonts w:ascii="Arial" w:eastAsia="Calibri" w:hAnsi="Arial" w:cs="Calibri"/>
          <w:kern w:val="0"/>
          <w:sz w:val="18"/>
          <w:szCs w:val="18"/>
          <w:lang w:val="en-US"/>
          <w14:ligatures w14:val="none"/>
        </w:rPr>
        <w:t>.</w:t>
      </w:r>
    </w:p>
    <w:p w14:paraId="30C9DEB0" w14:textId="77777777" w:rsidR="00742656" w:rsidRDefault="00742656" w:rsidP="00E32FE3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370C6B00" w14:textId="77777777" w:rsidR="001158AF" w:rsidRDefault="001158AF" w:rsidP="00E32FE3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65E846CD" w14:textId="0F8D33E4" w:rsidR="00C315D2" w:rsidRPr="00C315D2" w:rsidRDefault="00B8473A" w:rsidP="00E32FE3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Conclusion/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Discussion.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These results demonstrate the significant advantage of this strategy in reducing</w:t>
      </w:r>
      <w:r w:rsid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toxicity. Although this strategy violates drug use principles, it may be a breakthrough in</w:t>
      </w:r>
      <w:r w:rsid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reducing toxicity and improving cancer treatment. This strategy can also be applied to</w:t>
      </w:r>
      <w:r w:rsid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E32FE3" w:rsidRPr="00E32FE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other diseases with high drug toxicity.</w:t>
      </w:r>
    </w:p>
    <w:p w14:paraId="1AF10CAD" w14:textId="77777777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7D6E388F" w14:textId="0D969AF9" w:rsidR="00113BB7" w:rsidRPr="009B1CBB" w:rsidRDefault="00C315D2" w:rsidP="00D752AB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References</w:t>
      </w:r>
      <w:r w:rsidR="00D752AB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D752AB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This report can be found in the preprint of Research Square for </w:t>
      </w:r>
      <w:r w:rsidR="00D752AB" w:rsidRPr="00D752AB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DOI: https://doi.org/10.21203/rs.3.rs-4822017/v1</w:t>
      </w:r>
    </w:p>
    <w:sectPr w:rsidR="00113BB7" w:rsidRPr="009B1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FBEE1" w14:textId="77777777" w:rsidR="00313281" w:rsidRDefault="00313281" w:rsidP="00702B7A">
      <w:pPr>
        <w:spacing w:after="0" w:line="240" w:lineRule="auto"/>
      </w:pPr>
      <w:r>
        <w:separator/>
      </w:r>
    </w:p>
  </w:endnote>
  <w:endnote w:type="continuationSeparator" w:id="0">
    <w:p w14:paraId="0D3EBC45" w14:textId="77777777" w:rsidR="00313281" w:rsidRDefault="00313281" w:rsidP="00702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4ED6D" w14:textId="77777777" w:rsidR="00313281" w:rsidRDefault="00313281" w:rsidP="00702B7A">
      <w:pPr>
        <w:spacing w:after="0" w:line="240" w:lineRule="auto"/>
      </w:pPr>
      <w:r>
        <w:separator/>
      </w:r>
    </w:p>
  </w:footnote>
  <w:footnote w:type="continuationSeparator" w:id="0">
    <w:p w14:paraId="4E43F0F9" w14:textId="77777777" w:rsidR="00313281" w:rsidRDefault="00313281" w:rsidP="00702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D2"/>
    <w:rsid w:val="00000172"/>
    <w:rsid w:val="00107368"/>
    <w:rsid w:val="00113BB7"/>
    <w:rsid w:val="001158AF"/>
    <w:rsid w:val="001260A0"/>
    <w:rsid w:val="001D4F52"/>
    <w:rsid w:val="002017E6"/>
    <w:rsid w:val="00294059"/>
    <w:rsid w:val="00313281"/>
    <w:rsid w:val="003206E4"/>
    <w:rsid w:val="003A6D5C"/>
    <w:rsid w:val="003E45B0"/>
    <w:rsid w:val="004A51B6"/>
    <w:rsid w:val="004C4E4E"/>
    <w:rsid w:val="00510CF8"/>
    <w:rsid w:val="00575A29"/>
    <w:rsid w:val="005A5E79"/>
    <w:rsid w:val="00601754"/>
    <w:rsid w:val="006A34BE"/>
    <w:rsid w:val="006F3F1C"/>
    <w:rsid w:val="00702B7A"/>
    <w:rsid w:val="007141F2"/>
    <w:rsid w:val="00742656"/>
    <w:rsid w:val="007561D8"/>
    <w:rsid w:val="00795378"/>
    <w:rsid w:val="00796206"/>
    <w:rsid w:val="007C1991"/>
    <w:rsid w:val="007C367E"/>
    <w:rsid w:val="008071C5"/>
    <w:rsid w:val="00843F80"/>
    <w:rsid w:val="00870D3E"/>
    <w:rsid w:val="008F01BB"/>
    <w:rsid w:val="00906D34"/>
    <w:rsid w:val="00933DC9"/>
    <w:rsid w:val="00936D4C"/>
    <w:rsid w:val="009523F9"/>
    <w:rsid w:val="009650DF"/>
    <w:rsid w:val="009B1CBB"/>
    <w:rsid w:val="00A0516D"/>
    <w:rsid w:val="00B4721D"/>
    <w:rsid w:val="00B8473A"/>
    <w:rsid w:val="00B97C21"/>
    <w:rsid w:val="00C21815"/>
    <w:rsid w:val="00C315D2"/>
    <w:rsid w:val="00C353D8"/>
    <w:rsid w:val="00CF5A91"/>
    <w:rsid w:val="00D02BB1"/>
    <w:rsid w:val="00D24ECE"/>
    <w:rsid w:val="00D45A74"/>
    <w:rsid w:val="00D7428F"/>
    <w:rsid w:val="00D752AB"/>
    <w:rsid w:val="00E32FE3"/>
    <w:rsid w:val="00EC3746"/>
    <w:rsid w:val="00F539FB"/>
    <w:rsid w:val="00F85528"/>
    <w:rsid w:val="00F949F3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9E18DD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315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15D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15D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315D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315D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02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02B7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02B7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02B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2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SQ-C</cp:lastModifiedBy>
  <cp:revision>16</cp:revision>
  <dcterms:created xsi:type="dcterms:W3CDTF">2025-05-28T12:57:00Z</dcterms:created>
  <dcterms:modified xsi:type="dcterms:W3CDTF">2025-05-28T15:19:00Z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</Properties>
</file>