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65AB" w14:textId="7611EA45" w:rsidR="00330230" w:rsidRPr="007451EF" w:rsidRDefault="00E408BF" w:rsidP="00236427">
      <w:pPr>
        <w:spacing w:after="0" w:line="240" w:lineRule="auto"/>
        <w:rPr>
          <w:rFonts w:ascii="Arial" w:hAnsi="Arial" w:cs="Calibri"/>
          <w:b/>
          <w:bCs/>
          <w:kern w:val="0"/>
          <w:lang w:val="en-US"/>
          <w14:ligatures w14:val="none"/>
        </w:rPr>
      </w:pPr>
      <w:r w:rsidRPr="00E408BF">
        <w:rPr>
          <w:rFonts w:ascii="Arial" w:hAnsi="Arial" w:cs="Calibri" w:hint="eastAsia"/>
          <w:b/>
          <w:bCs/>
          <w:kern w:val="0"/>
          <w:lang w:val="en-US"/>
          <w14:ligatures w14:val="none"/>
        </w:rPr>
        <w:t>No</w:t>
      </w:r>
      <w:r w:rsidRPr="00E408BF">
        <w:rPr>
          <w:rFonts w:ascii="Arial" w:hAnsi="Arial" w:cs="Calibri"/>
          <w:b/>
          <w:bCs/>
          <w:kern w:val="0"/>
          <w:lang w:val="en-US"/>
          <w14:ligatures w14:val="none"/>
        </w:rPr>
        <w:t>vel</w:t>
      </w:r>
      <w:r w:rsidR="00330230" w:rsidRPr="00E408BF">
        <w:rPr>
          <w:rFonts w:ascii="Arial" w:hAnsi="Arial" w:cs="Calibri"/>
          <w:b/>
          <w:bCs/>
          <w:kern w:val="0"/>
          <w:lang w:val="en-US"/>
          <w14:ligatures w14:val="none"/>
        </w:rPr>
        <w:t xml:space="preserve"> measurements of particle deposition in the human airway</w:t>
      </w:r>
      <w:r w:rsidR="00C866C6">
        <w:rPr>
          <w:rFonts w:ascii="Arial" w:hAnsi="Arial" w:cs="Calibri" w:hint="eastAsia"/>
          <w:b/>
          <w:bCs/>
          <w:kern w:val="0"/>
          <w:lang w:val="en-US"/>
          <w14:ligatures w14:val="none"/>
        </w:rPr>
        <w:t xml:space="preserve"> using optical coherence tomography</w:t>
      </w:r>
    </w:p>
    <w:p w14:paraId="7C184185" w14:textId="647C2A9D" w:rsidR="00330230" w:rsidRDefault="00330230" w:rsidP="00236427">
      <w:pPr>
        <w:spacing w:after="0" w:line="240" w:lineRule="auto"/>
        <w:rPr>
          <w:rFonts w:ascii="Times New Roman" w:hAnsi="Times New Roman" w:cs="Times New Roman"/>
        </w:rPr>
      </w:pPr>
      <w:bookmarkStart w:id="0" w:name="_Hlk199351525"/>
      <w:r w:rsidRPr="007451EF">
        <w:rPr>
          <w:rFonts w:ascii="Arial" w:eastAsia="Calibri" w:hAnsi="Arial" w:cs="Calibri"/>
          <w:b/>
          <w:kern w:val="0"/>
          <w:sz w:val="20"/>
          <w:szCs w:val="20"/>
          <w:u w:val="single"/>
          <w:lang w:eastAsia="en-US"/>
          <w14:ligatures w14:val="none"/>
        </w:rPr>
        <w:t>Zhiwei Shen</w:t>
      </w:r>
      <w:r w:rsidRPr="007451EF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:lang w:eastAsia="en-US"/>
          <w14:ligatures w14:val="none"/>
        </w:rPr>
        <w:t>1</w:t>
      </w:r>
      <w:r w:rsidRPr="5B4EC6E5">
        <w:rPr>
          <w:rFonts w:ascii="Times New Roman" w:hAnsi="Times New Roman" w:cs="Times New Roman"/>
        </w:rPr>
        <w:t xml:space="preserve">, 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Taye Tolu Mekonnen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2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, Xinyu Cai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1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, Hak-Kim Chan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3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, Agisilaos Kourmatzis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2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, Shaokoon Cheng</w:t>
      </w:r>
      <w:r w:rsidRPr="007451EF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1</w:t>
      </w:r>
    </w:p>
    <w:bookmarkEnd w:id="0"/>
    <w:p w14:paraId="499676C4" w14:textId="04B60C2B" w:rsidR="00330230" w:rsidRPr="0053286B" w:rsidRDefault="0053286B" w:rsidP="00236427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  <w:r w:rsidRPr="0053286B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School of Engineering, Macquarie University, Sydney, NSW, Australia</w:t>
      </w:r>
      <w:r w:rsidRPr="0053286B">
        <w:rPr>
          <w:rFonts w:ascii="Arial" w:eastAsia="Calibri" w:hAnsi="Arial" w:cs="Calibri" w:hint="eastAsia"/>
          <w:bCs/>
          <w:kern w:val="0"/>
          <w:sz w:val="20"/>
          <w:szCs w:val="20"/>
          <w:vertAlign w:val="superscript"/>
          <w:lang w:eastAsia="en-US"/>
          <w14:ligatures w14:val="none"/>
        </w:rPr>
        <w:t>1</w:t>
      </w:r>
      <w:r w:rsidRPr="0053286B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>;</w:t>
      </w:r>
    </w:p>
    <w:p w14:paraId="34D5C702" w14:textId="00AB556A" w:rsidR="0053286B" w:rsidRPr="0053286B" w:rsidRDefault="0053286B" w:rsidP="00236427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  <w:r w:rsidRPr="0053286B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School of Aerospace, Mechanical and Mechatronic Engineering, The University of Sydney, Sydney, NSW, Australia</w:t>
      </w:r>
      <w:r w:rsidRPr="0053286B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en-US"/>
          <w14:ligatures w14:val="none"/>
        </w:rPr>
        <w:t>2</w:t>
      </w:r>
      <w:r w:rsidRPr="0053286B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;</w:t>
      </w:r>
    </w:p>
    <w:p w14:paraId="24890DC1" w14:textId="19126CBB" w:rsidR="00330230" w:rsidRPr="0053286B" w:rsidRDefault="0053286B" w:rsidP="00236427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  <w:r w:rsidRPr="0053286B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Sydney Pharmacy School, The University of Sydney, Sydney, NSW, Australia</w:t>
      </w:r>
      <w:r w:rsidRPr="00C110F7">
        <w:rPr>
          <w:rFonts w:ascii="Arial" w:eastAsia="Calibri" w:hAnsi="Arial" w:cs="Calibri" w:hint="eastAsia"/>
          <w:bCs/>
          <w:kern w:val="0"/>
          <w:sz w:val="20"/>
          <w:szCs w:val="20"/>
          <w:vertAlign w:val="superscript"/>
          <w:lang w:eastAsia="en-US"/>
          <w14:ligatures w14:val="none"/>
        </w:rPr>
        <w:t>3</w:t>
      </w:r>
    </w:p>
    <w:p w14:paraId="30A77CEE" w14:textId="77777777" w:rsidR="00236427" w:rsidRDefault="00236427" w:rsidP="00236427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14:ligatures w14:val="none"/>
        </w:rPr>
      </w:pPr>
    </w:p>
    <w:p w14:paraId="53A6990A" w14:textId="5C5E22F9" w:rsidR="00802304" w:rsidRPr="00310F62" w:rsidRDefault="00330230" w:rsidP="00802304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53286B">
        <w:rPr>
          <w:rFonts w:ascii="Arial" w:eastAsia="Calibri" w:hAnsi="Arial" w:cs="Calibri"/>
          <w:b/>
          <w:kern w:val="0"/>
          <w:sz w:val="20"/>
          <w:szCs w:val="20"/>
          <w:lang w:eastAsia="en-US"/>
          <w14:ligatures w14:val="none"/>
        </w:rPr>
        <w:t xml:space="preserve">Background and </w:t>
      </w:r>
      <w:r w:rsidR="00C110F7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>a</w:t>
      </w:r>
      <w:r w:rsidRPr="0053286B">
        <w:rPr>
          <w:rFonts w:ascii="Arial" w:eastAsia="Calibri" w:hAnsi="Arial" w:cs="Calibri"/>
          <w:b/>
          <w:kern w:val="0"/>
          <w:sz w:val="20"/>
          <w:szCs w:val="20"/>
          <w:lang w:eastAsia="en-US"/>
          <w14:ligatures w14:val="none"/>
        </w:rPr>
        <w:t>ims</w:t>
      </w:r>
      <w:r w:rsidR="0053286B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>.</w:t>
      </w:r>
      <w:r w:rsidR="00040AAB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 xml:space="preserve">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Understanding the characteristics of particle deposition in the human airway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such as deposition thickness and distribution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is </w:t>
      </w:r>
      <w:r w:rsidR="005D20D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useful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for evaluating the effectiveness of targeted nasal delivery. This study employs optical coherence tomography (OCT) to capture high-resolution cross-sectional images of particle deposition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. This technique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enabl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es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detailed analysis of how different particle properties influence 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their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accumulation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, and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goes beyond the capabilities of conventional imaging methods, which are typically limited to two-dimensional visualisation.</w:t>
      </w:r>
    </w:p>
    <w:p w14:paraId="44E16D77" w14:textId="77777777" w:rsidR="00040AAB" w:rsidRPr="00040AAB" w:rsidRDefault="00040AAB" w:rsidP="00802304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14:ligatures w14:val="none"/>
        </w:rPr>
      </w:pPr>
    </w:p>
    <w:p w14:paraId="796A5AD8" w14:textId="43215523" w:rsidR="00040AAB" w:rsidRDefault="00330230" w:rsidP="00802304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14:ligatures w14:val="none"/>
        </w:rPr>
      </w:pPr>
      <w:r w:rsidRPr="0053286B">
        <w:rPr>
          <w:rFonts w:ascii="Arial" w:eastAsia="Calibri" w:hAnsi="Arial" w:cs="Calibri"/>
          <w:b/>
          <w:kern w:val="0"/>
          <w:sz w:val="20"/>
          <w:szCs w:val="20"/>
          <w:lang w:eastAsia="en-US"/>
          <w14:ligatures w14:val="none"/>
        </w:rPr>
        <w:t>Methods</w:t>
      </w:r>
      <w:r w:rsidR="0053286B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>.</w:t>
      </w:r>
      <w:r w:rsidR="00802304">
        <w:rPr>
          <w:rFonts w:hint="eastAsia"/>
        </w:rPr>
        <w:t xml:space="preserve">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Lactose particles of varying size and cohesiveness were administered into a transparent silicone replica of the nasal airway, reconstructed from Magnetic Resonance Imaging (MRI) data. Transient airflow at different peak flow rates was applied to simulate realistic breathing conditions. 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>OCT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imaging was used to quantify particle deposition at</w:t>
      </w:r>
      <w:r w:rsidR="00E408BF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2F90">
        <w:rPr>
          <w:rFonts w:ascii="Arial" w:hAnsi="Arial" w:cs="Calibri"/>
          <w:bCs/>
          <w:kern w:val="0"/>
          <w:sz w:val="20"/>
          <w:szCs w:val="20"/>
          <w14:ligatures w14:val="none"/>
        </w:rPr>
        <w:t>vestibule, turbinate and nasopharynx region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and data was reconstructed to analyse particle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deposition thickness and </w:t>
      </w:r>
      <w:r w:rsid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their </w:t>
      </w:r>
      <w:r w:rsidR="004127B1" w:rsidRPr="004127B1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spatial distribution. </w:t>
      </w:r>
    </w:p>
    <w:p w14:paraId="61B83D22" w14:textId="77777777" w:rsidR="002D1F06" w:rsidRPr="00812F53" w:rsidRDefault="002D1F06" w:rsidP="00802304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14:ligatures w14:val="none"/>
        </w:rPr>
      </w:pPr>
    </w:p>
    <w:p w14:paraId="2D70FC91" w14:textId="77980C77" w:rsidR="00AB6E7B" w:rsidRDefault="00330230" w:rsidP="00E408BF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14:ligatures w14:val="none"/>
        </w:rPr>
      </w:pPr>
      <w:r w:rsidRPr="0053286B">
        <w:rPr>
          <w:rFonts w:ascii="Arial" w:eastAsia="Calibri" w:hAnsi="Arial" w:cs="Calibri"/>
          <w:b/>
          <w:kern w:val="0"/>
          <w:sz w:val="20"/>
          <w:szCs w:val="20"/>
          <w:lang w:eastAsia="en-US"/>
          <w14:ligatures w14:val="none"/>
        </w:rPr>
        <w:t>Results</w:t>
      </w:r>
      <w:r w:rsidR="0053286B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>.</w:t>
      </w:r>
      <w:r w:rsidR="0013395C">
        <w:t xml:space="preserve"> </w:t>
      </w:r>
      <w:r w:rsidR="004127B1" w:rsidRPr="00E408BF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Figure 1(a) shows the experimental setup. Figure 1(b) presents a real-time OCT image capturing the cross-section of deposited lactose particles (SV003). Figure 1(c) shows a three-dimensional reconstruction of the OCT images, illustrating particle distribution. The blue clusters represent the particles, while the grey section indicates the surface of the nasal replica. </w:t>
      </w:r>
      <w:r w:rsidR="001A71C7" w:rsidRPr="001A71C7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Figure 1(d) and (e) show the maximum thickness at location 1, reaching 230 µm at 55 L/min, which is 24% greater than that of SV003. This may be </w:t>
      </w:r>
      <w:r w:rsidR="001A71C7">
        <w:rPr>
          <w:rFonts w:ascii="Arial" w:hAnsi="Arial" w:cs="Calibri"/>
          <w:bCs/>
          <w:kern w:val="0"/>
          <w:sz w:val="20"/>
          <w:szCs w:val="20"/>
          <w14:ligatures w14:val="none"/>
        </w:rPr>
        <w:t>because</w:t>
      </w:r>
      <w:r w:rsidR="001A71C7" w:rsidRPr="001A71C7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the more cohesive nature of ML001 particles</w:t>
      </w:r>
      <w:r w:rsidR="001A71C7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A71C7" w:rsidRPr="001A71C7">
        <w:rPr>
          <w:rFonts w:ascii="Arial" w:hAnsi="Arial" w:cs="Calibri"/>
          <w:bCs/>
          <w:kern w:val="0"/>
          <w:sz w:val="20"/>
          <w:szCs w:val="20"/>
          <w14:ligatures w14:val="none"/>
        </w:rPr>
        <w:t>makes them less likely to break down into smaller sizes when dispersed via the nasal pump, resulting in larger agglomerates</w:t>
      </w:r>
      <w:r w:rsidR="001A71C7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A71C7" w:rsidRPr="001A71C7">
        <w:rPr>
          <w:rFonts w:ascii="Arial" w:hAnsi="Arial" w:cs="Calibri"/>
          <w:bCs/>
          <w:kern w:val="0"/>
          <w:sz w:val="20"/>
          <w:szCs w:val="20"/>
          <w14:ligatures w14:val="none"/>
        </w:rPr>
        <w:t>deposited in the nasal airwa</w:t>
      </w:r>
      <w:r w:rsidR="004579C4">
        <w:rPr>
          <w:rFonts w:ascii="Arial" w:hAnsi="Arial" w:cs="Calibri"/>
          <w:bCs/>
          <w:kern w:val="0"/>
          <w:sz w:val="20"/>
          <w:szCs w:val="20"/>
          <w14:ligatures w14:val="none"/>
        </w:rPr>
        <w:t xml:space="preserve">y. </w:t>
      </w:r>
      <w:r w:rsidR="00AA3376" w:rsidRPr="00E408BF">
        <w:rPr>
          <w:rFonts w:ascii="Arial" w:hAnsi="Arial" w:cs="Calibri"/>
          <w:bCs/>
          <w:kern w:val="0"/>
          <w:sz w:val="20"/>
          <w:szCs w:val="20"/>
          <w14:ligatures w14:val="none"/>
        </w:rPr>
        <w:t>T</w:t>
      </w:r>
      <w:r w:rsidR="00AA3376" w:rsidRPr="00AA3376">
        <w:rPr>
          <w:rFonts w:ascii="Arial" w:hAnsi="Arial" w:cs="Calibri"/>
          <w:bCs/>
          <w:kern w:val="0"/>
          <w:sz w:val="20"/>
          <w:szCs w:val="20"/>
          <w14:ligatures w14:val="none"/>
        </w:rPr>
        <w:t>he particle deposition patterns across different particle types suggest that the anterior section of the nasal airway is highly efficient at capturing particles.</w:t>
      </w:r>
    </w:p>
    <w:p w14:paraId="4558B995" w14:textId="708EB750" w:rsidR="00901591" w:rsidRDefault="00901591" w:rsidP="00201D66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14:ligatures w14:val="none"/>
        </w:rPr>
      </w:pPr>
    </w:p>
    <w:p w14:paraId="649709FF" w14:textId="490C7C53" w:rsidR="00201D66" w:rsidRDefault="00201D66" w:rsidP="005F2F90">
      <w:pPr>
        <w:spacing w:after="0" w:line="240" w:lineRule="auto"/>
        <w:jc w:val="center"/>
        <w:rPr>
          <w:rFonts w:ascii="Arial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cs="Calibri"/>
          <w:bCs/>
          <w:noProof/>
          <w:kern w:val="0"/>
          <w:sz w:val="20"/>
          <w:szCs w:val="20"/>
          <w14:ligatures w14:val="none"/>
        </w:rPr>
        <w:drawing>
          <wp:inline distT="0" distB="0" distL="0" distR="0" wp14:anchorId="3B5D8B67" wp14:editId="45977B79">
            <wp:extent cx="5286375" cy="1443651"/>
            <wp:effectExtent l="0" t="0" r="0" b="0"/>
            <wp:docPr id="2750239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" t="1256" r="702" b="3969"/>
                    <a:stretch/>
                  </pic:blipFill>
                  <pic:spPr bwMode="auto">
                    <a:xfrm>
                      <a:off x="0" y="0"/>
                      <a:ext cx="5373313" cy="146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2921D0" w14:textId="274DB0C4" w:rsidR="005F2F90" w:rsidRDefault="00853C48" w:rsidP="00AB6E7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  <w:r w:rsidRPr="009648B4">
        <w:rPr>
          <w:rFonts w:ascii="Arial" w:hAnsi="Arial" w:cs="Calibri" w:hint="eastAsia"/>
          <w:b/>
          <w:kern w:val="0"/>
          <w:sz w:val="20"/>
          <w:szCs w:val="20"/>
          <w14:ligatures w14:val="none"/>
        </w:rPr>
        <w:t>Figur</w:t>
      </w:r>
      <w:r w:rsidRPr="009648B4">
        <w:rPr>
          <w:rFonts w:ascii="Arial" w:hAnsi="Arial" w:cs="Calibri"/>
          <w:b/>
          <w:kern w:val="0"/>
          <w:sz w:val="20"/>
          <w:szCs w:val="20"/>
          <w14:ligatures w14:val="none"/>
        </w:rPr>
        <w:t>e 1</w:t>
      </w:r>
      <w:r w:rsidR="009648B4">
        <w:rPr>
          <w:rFonts w:ascii="Arial" w:hAnsi="Arial" w:cs="Calibri"/>
          <w:b/>
          <w:kern w:val="0"/>
          <w:sz w:val="20"/>
          <w:szCs w:val="20"/>
          <w14:ligatures w14:val="none"/>
        </w:rPr>
        <w:t xml:space="preserve">. </w:t>
      </w:r>
      <w:r w:rsidR="009648B4" w:rsidRPr="009648B4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(a) Graphical illustration of the experimental setup; (b) Cross-sectional OCT image of particle deposition on the silicone nasal replica; (c) 3D rendered OCT image of SV003 particle deposition (blue) on the silicone nasal airway wall</w:t>
      </w:r>
      <w:r w:rsidR="001A71C7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; </w:t>
      </w:r>
      <w:r w:rsidR="00AB6E7B" w:rsidRPr="00AB6E7B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(d, e) Quantitative representation of maximum deposition thickness at the three regions of interest for SV003 (d) and ML001 (e).</w:t>
      </w:r>
    </w:p>
    <w:p w14:paraId="11C60082" w14:textId="46E2DF25" w:rsidR="00E8095A" w:rsidRDefault="00E8095A" w:rsidP="00802304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</w:p>
    <w:p w14:paraId="0D2E2353" w14:textId="4AA623B6" w:rsidR="00AB6E7B" w:rsidRPr="002475B7" w:rsidRDefault="00330230" w:rsidP="007742E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</w:pPr>
      <w:r w:rsidRPr="00C866C6">
        <w:rPr>
          <w:rFonts w:ascii="Arial" w:eastAsia="Calibri" w:hAnsi="Arial" w:cs="Calibri"/>
          <w:b/>
          <w:kern w:val="0"/>
          <w:sz w:val="20"/>
          <w:szCs w:val="20"/>
          <w:lang w:eastAsia="en-US"/>
          <w14:ligatures w14:val="none"/>
        </w:rPr>
        <w:t>Conclusion/Discussion</w:t>
      </w:r>
      <w:r w:rsidR="0053286B" w:rsidRPr="00C866C6">
        <w:rPr>
          <w:rFonts w:ascii="Arial" w:eastAsia="Calibri" w:hAnsi="Arial" w:cs="Calibri" w:hint="eastAsia"/>
          <w:b/>
          <w:kern w:val="0"/>
          <w:sz w:val="20"/>
          <w:szCs w:val="20"/>
          <w:lang w:eastAsia="en-US"/>
          <w14:ligatures w14:val="none"/>
        </w:rPr>
        <w:t>.</w:t>
      </w:r>
      <w:r w:rsidR="00C866C6">
        <w:rPr>
          <w:rFonts w:ascii="Arial" w:hAnsi="Arial" w:cs="Calibri" w:hint="eastAsia"/>
          <w:bCs/>
          <w:kern w:val="0"/>
          <w:sz w:val="20"/>
          <w:szCs w:val="20"/>
          <w14:ligatures w14:val="none"/>
        </w:rPr>
        <w:t xml:space="preserve"> 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This study provides the</w:t>
      </w:r>
      <w:r w:rsidR="00C866C6" w:rsidRPr="00C866C6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 xml:space="preserve"> 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experimental quantification of particle deposition thickness in the </w:t>
      </w:r>
      <w:r w:rsidR="00C866C6" w:rsidRPr="00C866C6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>human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 airway using OCT, revealing how flow dynamics, particle size, and cohesiveness affect deposition</w:t>
      </w:r>
      <w:r w:rsidR="00F637A2" w:rsidRPr="00C866C6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 xml:space="preserve"> spatial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 p</w:t>
      </w:r>
      <w:r w:rsidR="00F637A2" w:rsidRPr="00C866C6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>attern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. The findings underscore the importance of particle and airflow characteristics in</w:t>
      </w:r>
      <w:r w:rsidR="00C866C6" w:rsidRPr="00C866C6">
        <w:rPr>
          <w:rFonts w:ascii="Arial" w:eastAsia="Calibri" w:hAnsi="Arial" w:cs="Calibri" w:hint="eastAsia"/>
          <w:bCs/>
          <w:kern w:val="0"/>
          <w:sz w:val="20"/>
          <w:szCs w:val="20"/>
          <w:lang w:eastAsia="en-US"/>
          <w14:ligatures w14:val="none"/>
        </w:rPr>
        <w:t xml:space="preserve"> 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drug delivery design</w:t>
      </w:r>
      <w:r w:rsidR="005D20D1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, and how it could be </w:t>
      </w:r>
      <w:r w:rsidR="00E408BF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enhanced</w:t>
      </w:r>
      <w:r w:rsidR="005D20D1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 xml:space="preserve"> by the above demonstrated technologies</w:t>
      </w:r>
      <w:r w:rsidR="00F637A2" w:rsidRPr="00C866C6">
        <w:rPr>
          <w:rFonts w:ascii="Arial" w:eastAsia="Calibri" w:hAnsi="Arial" w:cs="Calibri"/>
          <w:bCs/>
          <w:kern w:val="0"/>
          <w:sz w:val="20"/>
          <w:szCs w:val="20"/>
          <w:lang w:eastAsia="en-US"/>
          <w14:ligatures w14:val="none"/>
        </w:rPr>
        <w:t>.</w:t>
      </w:r>
    </w:p>
    <w:sectPr w:rsidR="00AB6E7B" w:rsidRPr="00247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E92" w14:textId="77777777" w:rsidR="00B260A7" w:rsidRDefault="00B260A7" w:rsidP="00040AAB">
      <w:pPr>
        <w:spacing w:after="0" w:line="240" w:lineRule="auto"/>
      </w:pPr>
      <w:r>
        <w:separator/>
      </w:r>
    </w:p>
  </w:endnote>
  <w:endnote w:type="continuationSeparator" w:id="0">
    <w:p w14:paraId="42C69AD0" w14:textId="77777777" w:rsidR="00B260A7" w:rsidRDefault="00B260A7" w:rsidP="0004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047C" w14:textId="77777777" w:rsidR="00B260A7" w:rsidRDefault="00B260A7" w:rsidP="00040AAB">
      <w:pPr>
        <w:spacing w:after="0" w:line="240" w:lineRule="auto"/>
      </w:pPr>
      <w:r>
        <w:separator/>
      </w:r>
    </w:p>
  </w:footnote>
  <w:footnote w:type="continuationSeparator" w:id="0">
    <w:p w14:paraId="4230854A" w14:textId="77777777" w:rsidR="00B260A7" w:rsidRDefault="00B260A7" w:rsidP="0004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50C1"/>
    <w:multiLevelType w:val="hybridMultilevel"/>
    <w:tmpl w:val="08D887A8"/>
    <w:lvl w:ilvl="0" w:tplc="FDECD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2A41"/>
    <w:multiLevelType w:val="hybridMultilevel"/>
    <w:tmpl w:val="89D4ED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70F"/>
    <w:multiLevelType w:val="hybridMultilevel"/>
    <w:tmpl w:val="D6F8A6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6065"/>
    <w:multiLevelType w:val="hybridMultilevel"/>
    <w:tmpl w:val="E4A8A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157D9"/>
    <w:multiLevelType w:val="hybridMultilevel"/>
    <w:tmpl w:val="2B3044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43AD"/>
    <w:multiLevelType w:val="hybridMultilevel"/>
    <w:tmpl w:val="BCCA3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61558">
    <w:abstractNumId w:val="5"/>
  </w:num>
  <w:num w:numId="2" w16cid:durableId="1788544312">
    <w:abstractNumId w:val="3"/>
  </w:num>
  <w:num w:numId="3" w16cid:durableId="1571034653">
    <w:abstractNumId w:val="0"/>
  </w:num>
  <w:num w:numId="4" w16cid:durableId="1497114808">
    <w:abstractNumId w:val="1"/>
  </w:num>
  <w:num w:numId="5" w16cid:durableId="858205907">
    <w:abstractNumId w:val="4"/>
  </w:num>
  <w:num w:numId="6" w16cid:durableId="127501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230"/>
    <w:rsid w:val="00016ADB"/>
    <w:rsid w:val="00040AAB"/>
    <w:rsid w:val="00084003"/>
    <w:rsid w:val="000C089C"/>
    <w:rsid w:val="000D6BF4"/>
    <w:rsid w:val="0013395C"/>
    <w:rsid w:val="001A71C7"/>
    <w:rsid w:val="00201D66"/>
    <w:rsid w:val="0020343D"/>
    <w:rsid w:val="00221AF2"/>
    <w:rsid w:val="00236427"/>
    <w:rsid w:val="002475B7"/>
    <w:rsid w:val="00252CEE"/>
    <w:rsid w:val="002B37CA"/>
    <w:rsid w:val="002D1F06"/>
    <w:rsid w:val="00310F62"/>
    <w:rsid w:val="00330230"/>
    <w:rsid w:val="00332898"/>
    <w:rsid w:val="003513AE"/>
    <w:rsid w:val="00385B15"/>
    <w:rsid w:val="00404345"/>
    <w:rsid w:val="004127B1"/>
    <w:rsid w:val="004579C4"/>
    <w:rsid w:val="004630F2"/>
    <w:rsid w:val="005011A3"/>
    <w:rsid w:val="0053286B"/>
    <w:rsid w:val="00544BCF"/>
    <w:rsid w:val="0058679A"/>
    <w:rsid w:val="005C52A5"/>
    <w:rsid w:val="005D20D1"/>
    <w:rsid w:val="005F2F90"/>
    <w:rsid w:val="00643396"/>
    <w:rsid w:val="006C491E"/>
    <w:rsid w:val="006D67E3"/>
    <w:rsid w:val="007451EF"/>
    <w:rsid w:val="007742E3"/>
    <w:rsid w:val="007F166C"/>
    <w:rsid w:val="007F486F"/>
    <w:rsid w:val="00802304"/>
    <w:rsid w:val="00812F53"/>
    <w:rsid w:val="00853C48"/>
    <w:rsid w:val="00901591"/>
    <w:rsid w:val="00935F1A"/>
    <w:rsid w:val="009648B4"/>
    <w:rsid w:val="00A61DAD"/>
    <w:rsid w:val="00AA3376"/>
    <w:rsid w:val="00AB6E7B"/>
    <w:rsid w:val="00AB7203"/>
    <w:rsid w:val="00B260A7"/>
    <w:rsid w:val="00BF104B"/>
    <w:rsid w:val="00C110F7"/>
    <w:rsid w:val="00C866C6"/>
    <w:rsid w:val="00CF2265"/>
    <w:rsid w:val="00D4451F"/>
    <w:rsid w:val="00E05A17"/>
    <w:rsid w:val="00E2794F"/>
    <w:rsid w:val="00E316D8"/>
    <w:rsid w:val="00E408BF"/>
    <w:rsid w:val="00E8095A"/>
    <w:rsid w:val="00EB7264"/>
    <w:rsid w:val="00F637A2"/>
    <w:rsid w:val="00F7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B9498"/>
  <w15:chartTrackingRefBased/>
  <w15:docId w15:val="{3D4F99F9-177E-42C4-9BF3-FE48F1E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7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0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AB"/>
  </w:style>
  <w:style w:type="paragraph" w:styleId="Footer">
    <w:name w:val="footer"/>
    <w:basedOn w:val="Normal"/>
    <w:link w:val="FooterChar"/>
    <w:uiPriority w:val="99"/>
    <w:unhideWhenUsed/>
    <w:rsid w:val="00040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AB"/>
  </w:style>
  <w:style w:type="paragraph" w:styleId="Revision">
    <w:name w:val="Revision"/>
    <w:hidden/>
    <w:uiPriority w:val="99"/>
    <w:semiHidden/>
    <w:rsid w:val="00310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Shen</dc:creator>
  <cp:keywords/>
  <dc:description/>
  <cp:lastModifiedBy>Zhiwei Shen</cp:lastModifiedBy>
  <cp:revision>3</cp:revision>
  <dcterms:created xsi:type="dcterms:W3CDTF">2025-05-29T22:48:00Z</dcterms:created>
  <dcterms:modified xsi:type="dcterms:W3CDTF">2025-05-30T04:22:00Z</dcterms:modified>
</cp:coreProperties>
</file>