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03DE" w14:textId="3665C74F" w:rsidR="005514CE" w:rsidRDefault="00192A06" w:rsidP="002E28E9">
      <w:pPr>
        <w:spacing w:after="0" w:line="240" w:lineRule="auto"/>
        <w:outlineLvl w:val="0"/>
        <w:rPr>
          <w:rFonts w:ascii="Calibri" w:hAnsi="Calibri" w:cs="Calibri"/>
          <w:b/>
          <w:bCs/>
          <w:color w:val="212121"/>
          <w:sz w:val="20"/>
          <w:szCs w:val="20"/>
          <w:shd w:val="clear" w:color="auto" w:fill="FFFFFF"/>
        </w:rPr>
      </w:pPr>
      <w:r w:rsidRPr="00192A06">
        <w:rPr>
          <w:rFonts w:ascii="Calibri" w:hAnsi="Calibri" w:cs="Calibri"/>
          <w:b/>
          <w:bCs/>
          <w:color w:val="212121"/>
          <w:sz w:val="20"/>
          <w:szCs w:val="20"/>
          <w:shd w:val="clear" w:color="auto" w:fill="FFFFFF"/>
        </w:rPr>
        <w:t>ABCB1 C3435T polymorphism in Indonesian acute coronary syndrome patients</w:t>
      </w:r>
    </w:p>
    <w:p w14:paraId="7B51D367" w14:textId="3F2B48E0" w:rsidR="002E28E9" w:rsidRPr="002E28E9" w:rsidRDefault="002E28E9" w:rsidP="00192A06">
      <w:pPr>
        <w:spacing w:after="0" w:line="240" w:lineRule="auto"/>
        <w:outlineLvl w:val="0"/>
        <w:rPr>
          <w:rFonts w:ascii="Calibri" w:hAnsi="Calibri" w:cs="Calibri"/>
          <w:b/>
          <w:bCs/>
          <w:color w:val="212121"/>
          <w:sz w:val="20"/>
          <w:szCs w:val="20"/>
          <w:shd w:val="clear" w:color="auto" w:fill="FFFFFF"/>
        </w:rPr>
      </w:pPr>
      <w:r w:rsidRPr="009D7CB9">
        <w:rPr>
          <w:rFonts w:ascii="Calibri" w:eastAsia="Times New Roman" w:hAnsi="Calibri" w:cs="Calibri"/>
          <w:kern w:val="0"/>
          <w:sz w:val="20"/>
          <w:szCs w:val="20"/>
          <w14:ligatures w14:val="none"/>
        </w:rPr>
        <w:t>Gestina Aliska¹</w:t>
      </w:r>
      <w:r w:rsidRPr="009D7BE7">
        <w:rPr>
          <w:rFonts w:ascii="Calibri" w:eastAsia="Times New Roman" w:hAnsi="Calibri" w:cs="Calibri"/>
          <w:kern w:val="0"/>
          <w:sz w:val="20"/>
          <w:szCs w:val="20"/>
          <w:vertAlign w:val="superscript"/>
          <w14:ligatures w14:val="none"/>
        </w:rPr>
        <w:t>-3</w:t>
      </w:r>
      <w:r w:rsidRPr="009D7CB9">
        <w:rPr>
          <w:rFonts w:ascii="Calibri" w:eastAsia="Times New Roman" w:hAnsi="Calibri" w:cs="Calibri"/>
          <w:kern w:val="0"/>
          <w:sz w:val="20"/>
          <w:szCs w:val="20"/>
          <w14:ligatures w14:val="none"/>
        </w:rPr>
        <w:t xml:space="preserve">, </w:t>
      </w:r>
      <w:proofErr w:type="spellStart"/>
      <w:r w:rsidR="00192A06" w:rsidRPr="00192A06">
        <w:rPr>
          <w:rFonts w:ascii="Calibri" w:eastAsia="Times New Roman" w:hAnsi="Calibri" w:cs="Calibri"/>
          <w:kern w:val="0"/>
          <w:sz w:val="20"/>
          <w:szCs w:val="20"/>
          <w14:ligatures w14:val="none"/>
        </w:rPr>
        <w:t>Mefri</w:t>
      </w:r>
      <w:proofErr w:type="spellEnd"/>
      <w:r w:rsidR="00192A06" w:rsidRPr="00192A06">
        <w:rPr>
          <w:rFonts w:ascii="Calibri" w:eastAsia="Times New Roman" w:hAnsi="Calibri" w:cs="Calibri"/>
          <w:kern w:val="0"/>
          <w:sz w:val="20"/>
          <w:szCs w:val="20"/>
          <w14:ligatures w14:val="none"/>
        </w:rPr>
        <w:t xml:space="preserve"> Yanni</w:t>
      </w:r>
      <w:r w:rsidR="00192A06" w:rsidRPr="00192A06">
        <w:rPr>
          <w:rFonts w:ascii="Calibri" w:eastAsia="Times New Roman" w:hAnsi="Calibri" w:cs="Calibri"/>
          <w:kern w:val="0"/>
          <w:sz w:val="20"/>
          <w:szCs w:val="20"/>
          <w:vertAlign w:val="superscript"/>
          <w14:ligatures w14:val="none"/>
        </w:rPr>
        <w:t>4</w:t>
      </w:r>
      <w:r w:rsidR="00192A06" w:rsidRPr="00192A06">
        <w:rPr>
          <w:rFonts w:ascii="Calibri" w:eastAsia="Times New Roman" w:hAnsi="Calibri" w:cs="Calibri"/>
          <w:kern w:val="0"/>
          <w:sz w:val="20"/>
          <w:szCs w:val="20"/>
          <w14:ligatures w14:val="none"/>
        </w:rPr>
        <w:t>, Rozi Abdullah</w:t>
      </w:r>
      <w:r w:rsidR="00192A06" w:rsidRPr="00192A06">
        <w:rPr>
          <w:rFonts w:ascii="Calibri" w:eastAsia="Times New Roman" w:hAnsi="Calibri" w:cs="Calibri"/>
          <w:kern w:val="0"/>
          <w:sz w:val="20"/>
          <w:szCs w:val="20"/>
          <w:vertAlign w:val="superscript"/>
          <w14:ligatures w14:val="none"/>
        </w:rPr>
        <w:t>1</w:t>
      </w:r>
      <w:r w:rsidR="00192A06" w:rsidRPr="00192A06">
        <w:rPr>
          <w:rFonts w:ascii="Calibri" w:eastAsia="Times New Roman" w:hAnsi="Calibri" w:cs="Calibri"/>
          <w:kern w:val="0"/>
          <w:sz w:val="20"/>
          <w:szCs w:val="20"/>
          <w:vertAlign w:val="superscript"/>
          <w14:ligatures w14:val="none"/>
        </w:rPr>
        <w:t>,3</w:t>
      </w:r>
      <w:r w:rsidR="00192A06" w:rsidRPr="00192A06">
        <w:rPr>
          <w:rFonts w:ascii="Calibri" w:eastAsia="Times New Roman" w:hAnsi="Calibri" w:cs="Calibri"/>
          <w:kern w:val="0"/>
          <w:sz w:val="20"/>
          <w:szCs w:val="20"/>
          <w14:ligatures w14:val="none"/>
        </w:rPr>
        <w:t xml:space="preserve">, Didan </w:t>
      </w:r>
      <w:proofErr w:type="spellStart"/>
      <w:r w:rsidR="00192A06" w:rsidRPr="00192A06">
        <w:rPr>
          <w:rFonts w:ascii="Calibri" w:eastAsia="Times New Roman" w:hAnsi="Calibri" w:cs="Calibri"/>
          <w:kern w:val="0"/>
          <w:sz w:val="20"/>
          <w:szCs w:val="20"/>
          <w14:ligatures w14:val="none"/>
        </w:rPr>
        <w:t>Ariadapa</w:t>
      </w:r>
      <w:proofErr w:type="spellEnd"/>
      <w:r w:rsidR="00192A06" w:rsidRPr="00192A06">
        <w:rPr>
          <w:rFonts w:ascii="Calibri" w:eastAsia="Times New Roman" w:hAnsi="Calibri" w:cs="Calibri"/>
          <w:kern w:val="0"/>
          <w:sz w:val="20"/>
          <w:szCs w:val="20"/>
          <w14:ligatures w14:val="none"/>
        </w:rPr>
        <w:t xml:space="preserve"> Rohadi</w:t>
      </w:r>
      <w:r w:rsidR="00192A06" w:rsidRPr="00192A06">
        <w:rPr>
          <w:rFonts w:ascii="Calibri" w:eastAsia="Times New Roman" w:hAnsi="Calibri" w:cs="Calibri"/>
          <w:kern w:val="0"/>
          <w:sz w:val="20"/>
          <w:szCs w:val="20"/>
          <w:vertAlign w:val="superscript"/>
          <w14:ligatures w14:val="none"/>
        </w:rPr>
        <w:t>5</w:t>
      </w:r>
    </w:p>
    <w:p w14:paraId="2F29CB1A" w14:textId="3FBDCC12" w:rsidR="002E28E9" w:rsidRDefault="002E28E9" w:rsidP="002E28E9">
      <w:pPr>
        <w:spacing w:after="0" w:line="240" w:lineRule="auto"/>
        <w:jc w:val="both"/>
        <w:outlineLvl w:val="0"/>
        <w:rPr>
          <w:rFonts w:ascii="Calibri" w:eastAsia="Times New Roman" w:hAnsi="Calibri" w:cs="Calibri"/>
          <w:kern w:val="0"/>
          <w:sz w:val="20"/>
          <w:szCs w:val="20"/>
          <w14:ligatures w14:val="none"/>
        </w:rPr>
      </w:pPr>
      <w:r w:rsidRPr="009D7CB9">
        <w:rPr>
          <w:rFonts w:ascii="Calibri" w:eastAsia="Times New Roman" w:hAnsi="Calibri" w:cs="Calibri"/>
          <w:kern w:val="0"/>
          <w:sz w:val="20"/>
          <w:szCs w:val="20"/>
          <w14:ligatures w14:val="none"/>
        </w:rPr>
        <w:br/>
      </w:r>
      <w:r w:rsidRPr="009D7BE7">
        <w:rPr>
          <w:rFonts w:ascii="Calibri" w:eastAsia="Times New Roman" w:hAnsi="Calibri" w:cs="Calibri"/>
          <w:kern w:val="0"/>
          <w:sz w:val="20"/>
          <w:szCs w:val="20"/>
          <w:vertAlign w:val="superscript"/>
          <w14:ligatures w14:val="none"/>
        </w:rPr>
        <w:t>1</w:t>
      </w:r>
      <w:r w:rsidRPr="009D7BE7">
        <w:rPr>
          <w:rFonts w:ascii="Calibri" w:eastAsia="Times New Roman" w:hAnsi="Calibri" w:cs="Calibri"/>
          <w:kern w:val="0"/>
          <w:sz w:val="20"/>
          <w:szCs w:val="20"/>
          <w14:ligatures w14:val="none"/>
        </w:rPr>
        <w:t xml:space="preserve">Department of Pharmacology and Therapeutics, Faculty of Medicine, Universitas Andalas, Padang, Indonesia; </w:t>
      </w:r>
      <w:r w:rsidRPr="009D7BE7">
        <w:rPr>
          <w:rFonts w:ascii="Calibri" w:eastAsia="Times New Roman" w:hAnsi="Calibri" w:cs="Calibri"/>
          <w:kern w:val="0"/>
          <w:sz w:val="20"/>
          <w:szCs w:val="20"/>
          <w:vertAlign w:val="superscript"/>
          <w14:ligatures w14:val="none"/>
        </w:rPr>
        <w:t>2</w:t>
      </w:r>
      <w:r w:rsidRPr="009D7BE7">
        <w:rPr>
          <w:rFonts w:ascii="Calibri" w:eastAsia="Times New Roman" w:hAnsi="Calibri" w:cs="Calibri"/>
          <w:kern w:val="0"/>
          <w:sz w:val="20"/>
          <w:szCs w:val="20"/>
          <w14:ligatures w14:val="none"/>
        </w:rPr>
        <w:t xml:space="preserve">Centre for Diagnostic and Research on Infectious Disease (PDRPI), Faculty of Medicine, Universitas Andalas, Padang, Indonesia; </w:t>
      </w:r>
      <w:r w:rsidRPr="009D7BE7">
        <w:rPr>
          <w:rFonts w:ascii="Calibri" w:eastAsia="Times New Roman" w:hAnsi="Calibri" w:cs="Calibri"/>
          <w:kern w:val="0"/>
          <w:sz w:val="20"/>
          <w:szCs w:val="20"/>
          <w:vertAlign w:val="superscript"/>
          <w14:ligatures w14:val="none"/>
        </w:rPr>
        <w:t>3</w:t>
      </w:r>
      <w:r w:rsidRPr="009D7BE7">
        <w:rPr>
          <w:rFonts w:ascii="Calibri" w:eastAsia="Times New Roman" w:hAnsi="Calibri" w:cs="Calibri"/>
          <w:kern w:val="0"/>
          <w:sz w:val="20"/>
          <w:szCs w:val="20"/>
          <w14:ligatures w14:val="none"/>
        </w:rPr>
        <w:t xml:space="preserve">Department of Clinical Pharmacology, M </w:t>
      </w:r>
      <w:proofErr w:type="spellStart"/>
      <w:r w:rsidRPr="009D7BE7">
        <w:rPr>
          <w:rFonts w:ascii="Calibri" w:eastAsia="Times New Roman" w:hAnsi="Calibri" w:cs="Calibri"/>
          <w:kern w:val="0"/>
          <w:sz w:val="20"/>
          <w:szCs w:val="20"/>
          <w14:ligatures w14:val="none"/>
        </w:rPr>
        <w:t>Djamil</w:t>
      </w:r>
      <w:proofErr w:type="spellEnd"/>
      <w:r w:rsidRPr="009D7BE7">
        <w:rPr>
          <w:rFonts w:ascii="Calibri" w:eastAsia="Times New Roman" w:hAnsi="Calibri" w:cs="Calibri"/>
          <w:kern w:val="0"/>
          <w:sz w:val="20"/>
          <w:szCs w:val="20"/>
          <w14:ligatures w14:val="none"/>
        </w:rPr>
        <w:t xml:space="preserve"> General Hospital, Padang, Indonesia; </w:t>
      </w:r>
      <w:r w:rsidR="00CF554E">
        <w:rPr>
          <w:rFonts w:ascii="Calibri" w:eastAsia="Times New Roman" w:hAnsi="Calibri" w:cs="Calibri"/>
          <w:kern w:val="0"/>
          <w:sz w:val="20"/>
          <w:szCs w:val="20"/>
          <w:vertAlign w:val="superscript"/>
          <w14:ligatures w14:val="none"/>
        </w:rPr>
        <w:t>4</w:t>
      </w:r>
      <w:r w:rsidR="00CF554E">
        <w:rPr>
          <w:rFonts w:ascii="Calibri" w:hAnsi="Calibri"/>
          <w:sz w:val="20"/>
        </w:rPr>
        <w:t xml:space="preserve">Department of </w:t>
      </w:r>
      <w:r w:rsidR="00192A06">
        <w:rPr>
          <w:rFonts w:ascii="Calibri" w:hAnsi="Calibri"/>
          <w:sz w:val="20"/>
        </w:rPr>
        <w:t>Cardiology and Vascular Medicine</w:t>
      </w:r>
      <w:r w:rsidR="00CF554E">
        <w:rPr>
          <w:rFonts w:ascii="Calibri" w:hAnsi="Calibri"/>
          <w:sz w:val="20"/>
        </w:rPr>
        <w:t>, Faculty of Medicine, Universitas Andalas, Padang, Indonesia</w:t>
      </w:r>
      <w:r w:rsidR="00192A06">
        <w:rPr>
          <w:rFonts w:ascii="Calibri" w:hAnsi="Calibri"/>
          <w:sz w:val="20"/>
        </w:rPr>
        <w:t xml:space="preserve">; </w:t>
      </w:r>
      <w:r w:rsidR="00192A06">
        <w:rPr>
          <w:rFonts w:ascii="Calibri" w:eastAsia="Times New Roman" w:hAnsi="Calibri" w:cs="Calibri"/>
          <w:kern w:val="0"/>
          <w:sz w:val="20"/>
          <w:szCs w:val="20"/>
          <w:vertAlign w:val="superscript"/>
          <w14:ligatures w14:val="none"/>
        </w:rPr>
        <w:t>5</w:t>
      </w:r>
      <w:r w:rsidR="00192A06" w:rsidRPr="00192A06">
        <w:rPr>
          <w:rFonts w:ascii="Calibri" w:hAnsi="Calibri"/>
          <w:sz w:val="20"/>
        </w:rPr>
        <w:t>Magister Biomedical Program, Faculty of Medicine, Universitas Andalas, Padang, Indonesia</w:t>
      </w:r>
      <w:r w:rsidR="00192A06">
        <w:rPr>
          <w:rFonts w:ascii="Calibri" w:hAnsi="Calibri"/>
          <w:sz w:val="20"/>
        </w:rPr>
        <w:t>.</w:t>
      </w:r>
    </w:p>
    <w:p w14:paraId="7B420795" w14:textId="77777777" w:rsidR="002E28E9" w:rsidRDefault="002E28E9" w:rsidP="002E28E9">
      <w:pPr>
        <w:spacing w:after="0" w:line="240" w:lineRule="auto"/>
        <w:jc w:val="both"/>
        <w:rPr>
          <w:rFonts w:ascii="Calibri" w:hAnsi="Calibri" w:cs="Calibri"/>
          <w:color w:val="212121"/>
          <w:sz w:val="20"/>
          <w:szCs w:val="20"/>
          <w:shd w:val="clear" w:color="auto" w:fill="FFFFFF"/>
        </w:rPr>
      </w:pPr>
    </w:p>
    <w:p w14:paraId="3F47715C" w14:textId="71849F4F" w:rsidR="002E28E9" w:rsidRPr="002E28E9" w:rsidRDefault="002E28E9" w:rsidP="002E28E9">
      <w:pPr>
        <w:spacing w:after="0" w:line="240" w:lineRule="auto"/>
        <w:jc w:val="both"/>
        <w:rPr>
          <w:rFonts w:ascii="Calibri" w:hAnsi="Calibri" w:cs="Calibri"/>
          <w:color w:val="212121"/>
          <w:sz w:val="20"/>
          <w:szCs w:val="20"/>
          <w:shd w:val="clear" w:color="auto" w:fill="FFFFFF"/>
        </w:rPr>
      </w:pPr>
      <w:r w:rsidRPr="002E28E9">
        <w:rPr>
          <w:rFonts w:ascii="Calibri" w:hAnsi="Calibri" w:cs="Calibri"/>
          <w:color w:val="212121"/>
          <w:sz w:val="20"/>
          <w:szCs w:val="20"/>
          <w:shd w:val="clear" w:color="auto" w:fill="FFFFFF"/>
        </w:rPr>
        <w:t xml:space="preserve">Introduction. </w:t>
      </w:r>
      <w:r w:rsidR="0099152D" w:rsidRPr="0099152D">
        <w:rPr>
          <w:rFonts w:ascii="Calibri" w:hAnsi="Calibri" w:cs="Calibri"/>
          <w:color w:val="212121"/>
          <w:sz w:val="20"/>
          <w:szCs w:val="20"/>
          <w:shd w:val="clear" w:color="auto" w:fill="FFFFFF"/>
        </w:rPr>
        <w:t>Acute coronary syndrome (ACS) outcomes vary despite guideline-based antiplatelet therapy. ABCB1 encodes P-glycoprotein, an efflux transporter that may influence intestinal absorption and bioavailability of P2Y12 inhibitors. Indonesian pharmacogenomic data on ABCB1 C3435T (rs1045642) and in-hospital outcomes remain limited.</w:t>
      </w:r>
    </w:p>
    <w:p w14:paraId="32D4A52C" w14:textId="77777777" w:rsidR="002E28E9" w:rsidRPr="002E28E9" w:rsidRDefault="002E28E9" w:rsidP="002E28E9">
      <w:pPr>
        <w:spacing w:after="0" w:line="240" w:lineRule="auto"/>
        <w:jc w:val="both"/>
        <w:rPr>
          <w:rFonts w:ascii="Calibri" w:hAnsi="Calibri" w:cs="Calibri"/>
          <w:color w:val="212121"/>
          <w:sz w:val="20"/>
          <w:szCs w:val="20"/>
          <w:shd w:val="clear" w:color="auto" w:fill="FFFFFF"/>
        </w:rPr>
      </w:pPr>
    </w:p>
    <w:p w14:paraId="553C30A9" w14:textId="40AC4D39" w:rsidR="002E28E9" w:rsidRDefault="002E28E9" w:rsidP="002E28E9">
      <w:pPr>
        <w:spacing w:after="0" w:line="240" w:lineRule="auto"/>
        <w:jc w:val="both"/>
        <w:rPr>
          <w:rFonts w:ascii="Calibri" w:hAnsi="Calibri" w:cs="Calibri"/>
          <w:color w:val="212121"/>
          <w:sz w:val="20"/>
          <w:szCs w:val="20"/>
          <w:shd w:val="clear" w:color="auto" w:fill="FFFFFF"/>
        </w:rPr>
      </w:pPr>
      <w:r w:rsidRPr="002E28E9">
        <w:rPr>
          <w:rFonts w:ascii="Calibri" w:hAnsi="Calibri" w:cs="Calibri"/>
          <w:color w:val="212121"/>
          <w:sz w:val="20"/>
          <w:szCs w:val="20"/>
          <w:shd w:val="clear" w:color="auto" w:fill="FFFFFF"/>
        </w:rPr>
        <w:t xml:space="preserve">Aims. </w:t>
      </w:r>
      <w:r w:rsidR="0099152D" w:rsidRPr="0099152D">
        <w:rPr>
          <w:rFonts w:ascii="Calibri" w:hAnsi="Calibri" w:cs="Calibri"/>
          <w:color w:val="212121"/>
          <w:sz w:val="20"/>
          <w:szCs w:val="20"/>
          <w:shd w:val="clear" w:color="auto" w:fill="FFFFFF"/>
        </w:rPr>
        <w:t>To determine genotype and allele frequencies of ABCB1 C3435T and to describe hospital length of stay (LOS) and in-hospital mortality according to genotype among Indonesian ACS patients.</w:t>
      </w:r>
    </w:p>
    <w:p w14:paraId="7197DAFA" w14:textId="77777777" w:rsidR="00192A06" w:rsidRPr="002E28E9" w:rsidRDefault="00192A06" w:rsidP="002E28E9">
      <w:pPr>
        <w:spacing w:after="0" w:line="240" w:lineRule="auto"/>
        <w:jc w:val="both"/>
        <w:rPr>
          <w:rFonts w:ascii="Calibri" w:hAnsi="Calibri" w:cs="Calibri"/>
          <w:color w:val="212121"/>
          <w:sz w:val="20"/>
          <w:szCs w:val="20"/>
          <w:shd w:val="clear" w:color="auto" w:fill="FFFFFF"/>
        </w:rPr>
      </w:pPr>
    </w:p>
    <w:p w14:paraId="4FC6A7C9" w14:textId="72222F03" w:rsidR="002E28E9" w:rsidRDefault="002E28E9" w:rsidP="002E28E9">
      <w:pPr>
        <w:spacing w:after="0" w:line="240" w:lineRule="auto"/>
        <w:jc w:val="both"/>
        <w:rPr>
          <w:rFonts w:ascii="Calibri" w:hAnsi="Calibri" w:cs="Calibri"/>
          <w:color w:val="212121"/>
          <w:sz w:val="20"/>
          <w:szCs w:val="20"/>
          <w:shd w:val="clear" w:color="auto" w:fill="FFFFFF"/>
        </w:rPr>
      </w:pPr>
      <w:r w:rsidRPr="002E28E9">
        <w:rPr>
          <w:rFonts w:ascii="Calibri" w:hAnsi="Calibri" w:cs="Calibri"/>
          <w:color w:val="212121"/>
          <w:sz w:val="20"/>
          <w:szCs w:val="20"/>
          <w:shd w:val="clear" w:color="auto" w:fill="FFFFFF"/>
        </w:rPr>
        <w:t xml:space="preserve">Methods. </w:t>
      </w:r>
      <w:r w:rsidR="0099152D" w:rsidRPr="0099152D">
        <w:rPr>
          <w:rFonts w:ascii="Calibri" w:hAnsi="Calibri" w:cs="Calibri"/>
          <w:color w:val="212121"/>
          <w:sz w:val="20"/>
          <w:szCs w:val="20"/>
          <w:shd w:val="clear" w:color="auto" w:fill="FFFFFF"/>
        </w:rPr>
        <w:t>A cross-sectional analysis was conducted among ACS patients treated at tertiary referral hospitals in Indonesia. Patients received standard-of-care antiplatelet therapy; clopidogrel was used in 16/64 (25.0%), while most patients received ticagrelor-based P2Y12 inhibitor therapy. Genotyping of ABCB1 C3435T (rs1045642) was performed using PCR-based methods. Genotype and allele frequencies were calculated by direct counting. LOS and in-hospital mortality were summarized overall and stratified by genotype.</w:t>
      </w:r>
    </w:p>
    <w:p w14:paraId="578E48E4" w14:textId="77777777" w:rsidR="0099152D" w:rsidRPr="002E28E9" w:rsidRDefault="0099152D" w:rsidP="002E28E9">
      <w:pPr>
        <w:spacing w:after="0" w:line="240" w:lineRule="auto"/>
        <w:jc w:val="both"/>
        <w:rPr>
          <w:rFonts w:ascii="Calibri" w:hAnsi="Calibri" w:cs="Calibri"/>
          <w:color w:val="212121"/>
          <w:sz w:val="20"/>
          <w:szCs w:val="20"/>
          <w:shd w:val="clear" w:color="auto" w:fill="FFFFFF"/>
        </w:rPr>
      </w:pPr>
    </w:p>
    <w:p w14:paraId="131FA8E2" w14:textId="374E00AD" w:rsidR="002E28E9" w:rsidRPr="002E28E9" w:rsidRDefault="002E28E9" w:rsidP="002E28E9">
      <w:pPr>
        <w:spacing w:after="0" w:line="240" w:lineRule="auto"/>
        <w:jc w:val="both"/>
        <w:rPr>
          <w:rFonts w:ascii="Calibri" w:hAnsi="Calibri" w:cs="Calibri"/>
          <w:color w:val="212121"/>
          <w:sz w:val="20"/>
          <w:szCs w:val="20"/>
          <w:shd w:val="clear" w:color="auto" w:fill="FFFFFF"/>
        </w:rPr>
      </w:pPr>
      <w:r w:rsidRPr="002E28E9">
        <w:rPr>
          <w:rFonts w:ascii="Calibri" w:hAnsi="Calibri" w:cs="Calibri"/>
          <w:color w:val="212121"/>
          <w:sz w:val="20"/>
          <w:szCs w:val="20"/>
          <w:shd w:val="clear" w:color="auto" w:fill="FFFFFF"/>
        </w:rPr>
        <w:t xml:space="preserve">Results. </w:t>
      </w:r>
      <w:r w:rsidR="0099152D" w:rsidRPr="0099152D">
        <w:rPr>
          <w:rFonts w:ascii="Calibri" w:hAnsi="Calibri" w:cs="Calibri"/>
          <w:color w:val="212121"/>
          <w:sz w:val="20"/>
          <w:szCs w:val="20"/>
          <w:shd w:val="clear" w:color="auto" w:fill="FFFFFF"/>
        </w:rPr>
        <w:t>A total of 64 ACS patients were successfully genotyped. The cohort had a mean age of 57.5 ± 9.7 years (median 58; IQR 51–65) and was predominantly male (51/64, 79.7%). ACS presentations included STEMI 42 (65.6%), UAP 13 (20.3%), NSTEMI 7 (10.9%), and other 2 (3.1%). ABCB1 genotype distribution was CC 22 (34.4%), CT 34 (53.1%), and TT 8 (12.5%). Allele frequencies were C 60.9% (78/128) and T 39.1% (50/128). Overall LOS was 4.80 ± 2.26 days (median 4.0; IQR 3.0–5.2). Mean LOS by genotype was 4.73 ± 1.93 (CC), 4.97 ± 2.53 (CT), and 4.25 ± 1.98 (TT) days. In-hospital mortality occurred in 5/64 (7.8%), with genotype-specific rates of 1/22 (4.5%) in CC, 3/34 (8.8%) in CT, and 1/8 (12.5%) in TT.</w:t>
      </w:r>
    </w:p>
    <w:p w14:paraId="409EA365" w14:textId="77777777" w:rsidR="002E28E9" w:rsidRPr="002E28E9" w:rsidRDefault="002E28E9" w:rsidP="002E28E9">
      <w:pPr>
        <w:spacing w:after="0" w:line="240" w:lineRule="auto"/>
        <w:jc w:val="both"/>
        <w:rPr>
          <w:rFonts w:ascii="Calibri" w:hAnsi="Calibri" w:cs="Calibri"/>
          <w:color w:val="212121"/>
          <w:sz w:val="20"/>
          <w:szCs w:val="20"/>
          <w:shd w:val="clear" w:color="auto" w:fill="FFFFFF"/>
        </w:rPr>
      </w:pPr>
    </w:p>
    <w:p w14:paraId="44646AF6" w14:textId="74017F0A" w:rsidR="002E28E9" w:rsidRDefault="002E28E9" w:rsidP="002E28E9">
      <w:pPr>
        <w:spacing w:after="0" w:line="240" w:lineRule="auto"/>
        <w:jc w:val="both"/>
        <w:rPr>
          <w:rFonts w:ascii="Calibri" w:hAnsi="Calibri" w:cs="Calibri"/>
          <w:color w:val="212121"/>
          <w:sz w:val="20"/>
          <w:szCs w:val="20"/>
          <w:shd w:val="clear" w:color="auto" w:fill="FFFFFF"/>
        </w:rPr>
      </w:pPr>
      <w:r w:rsidRPr="002E28E9">
        <w:rPr>
          <w:rFonts w:ascii="Calibri" w:hAnsi="Calibri" w:cs="Calibri"/>
          <w:color w:val="212121"/>
          <w:sz w:val="20"/>
          <w:szCs w:val="20"/>
          <w:shd w:val="clear" w:color="auto" w:fill="FFFFFF"/>
        </w:rPr>
        <w:t xml:space="preserve">Discussion. </w:t>
      </w:r>
      <w:r w:rsidR="0099152D" w:rsidRPr="0099152D">
        <w:rPr>
          <w:rFonts w:ascii="Calibri" w:hAnsi="Calibri" w:cs="Calibri"/>
          <w:color w:val="212121"/>
          <w:sz w:val="20"/>
          <w:szCs w:val="20"/>
          <w:shd w:val="clear" w:color="auto" w:fill="FFFFFF"/>
        </w:rPr>
        <w:t>ABCB1 C3435T polymorphism was common in Indonesian ACS patients, with predominance of the CT genotype and the C allele. Descriptive differences in LOS and in-hospital mortality across genotypes suggest potential clinical relevance of transporter-related pharmacogenomic variability under contemporary ACS care where potent P2Y12 inhibitors are frequently used. Larger cohorts and analyses stratified by P2Y12 inhibitor type are warranted to clarify whether ABCB1 C3435T contributes to outcome variability and to support feasible pharmacogenomic implementation in resource-limited settings.</w:t>
      </w:r>
    </w:p>
    <w:p w14:paraId="080B80C1" w14:textId="0FD177A0" w:rsidR="002E28E9" w:rsidRDefault="002E28E9" w:rsidP="002E28E9">
      <w:pPr>
        <w:spacing w:after="0" w:line="240" w:lineRule="auto"/>
        <w:jc w:val="both"/>
        <w:rPr>
          <w:rFonts w:ascii="Calibri" w:hAnsi="Calibri" w:cs="Calibri"/>
          <w:color w:val="212121"/>
          <w:sz w:val="20"/>
          <w:szCs w:val="20"/>
          <w:shd w:val="clear" w:color="auto" w:fill="FFFFFF"/>
        </w:rPr>
      </w:pPr>
    </w:p>
    <w:p w14:paraId="548899C1" w14:textId="77777777" w:rsidR="002E28E9" w:rsidRPr="00457ED2" w:rsidRDefault="002E28E9" w:rsidP="002E28E9">
      <w:pPr>
        <w:spacing w:after="0" w:line="240" w:lineRule="auto"/>
        <w:rPr>
          <w:rFonts w:ascii="Calibri" w:eastAsia="Times New Roman" w:hAnsi="Calibri" w:cs="Calibri"/>
          <w:kern w:val="0"/>
          <w:sz w:val="20"/>
          <w:szCs w:val="20"/>
          <w14:ligatures w14:val="none"/>
        </w:rPr>
      </w:pPr>
      <w:r w:rsidRPr="00457ED2">
        <w:rPr>
          <w:rFonts w:ascii="Calibri" w:eastAsia="Times New Roman" w:hAnsi="Calibri" w:cs="Calibri"/>
          <w:kern w:val="0"/>
          <w:sz w:val="20"/>
          <w:szCs w:val="20"/>
          <w14:ligatures w14:val="none"/>
        </w:rPr>
        <w:t>References</w:t>
      </w:r>
    </w:p>
    <w:p w14:paraId="58E3F073" w14:textId="41AA0C24" w:rsidR="0099152D" w:rsidRPr="0099152D" w:rsidRDefault="0099152D" w:rsidP="0099152D">
      <w:pPr>
        <w:spacing w:after="0" w:line="240" w:lineRule="auto"/>
        <w:jc w:val="both"/>
        <w:rPr>
          <w:rFonts w:ascii="Calibri" w:hAnsi="Calibri" w:cs="Calibri"/>
          <w:color w:val="212121"/>
          <w:sz w:val="20"/>
          <w:szCs w:val="20"/>
          <w:shd w:val="clear" w:color="auto" w:fill="FFFFFF"/>
        </w:rPr>
      </w:pPr>
      <w:r w:rsidRPr="0099152D">
        <w:rPr>
          <w:rFonts w:ascii="Calibri" w:hAnsi="Calibri" w:cs="Calibri"/>
          <w:color w:val="212121"/>
          <w:sz w:val="20"/>
          <w:szCs w:val="20"/>
          <w:shd w:val="clear" w:color="auto" w:fill="FFFFFF"/>
        </w:rPr>
        <w:t>Simon T, Verstuyft C, Mary-Krause M, et al. Genetic determinants of response to clopidogrel and cardiovascular events. N Engl J Med. 2009;360:363–375.</w:t>
      </w:r>
    </w:p>
    <w:p w14:paraId="11209B83" w14:textId="33A096B9" w:rsidR="0099152D" w:rsidRPr="0099152D" w:rsidRDefault="0099152D" w:rsidP="0099152D">
      <w:pPr>
        <w:spacing w:after="0" w:line="240" w:lineRule="auto"/>
        <w:jc w:val="both"/>
        <w:rPr>
          <w:rFonts w:ascii="Calibri" w:hAnsi="Calibri" w:cs="Calibri"/>
          <w:color w:val="212121"/>
          <w:sz w:val="20"/>
          <w:szCs w:val="20"/>
          <w:shd w:val="clear" w:color="auto" w:fill="FFFFFF"/>
        </w:rPr>
      </w:pPr>
      <w:r w:rsidRPr="0099152D">
        <w:rPr>
          <w:rFonts w:ascii="Calibri" w:hAnsi="Calibri" w:cs="Calibri"/>
          <w:color w:val="212121"/>
          <w:sz w:val="20"/>
          <w:szCs w:val="20"/>
          <w:shd w:val="clear" w:color="auto" w:fill="FFFFFF"/>
        </w:rPr>
        <w:t xml:space="preserve">Su J, Xu J, Li X, et al. ABCB1 C3435T polymorphism and response to clopidogrel treatment: a meta-analysis. </w:t>
      </w:r>
      <w:proofErr w:type="spellStart"/>
      <w:r w:rsidRPr="0099152D">
        <w:rPr>
          <w:rFonts w:ascii="Calibri" w:hAnsi="Calibri" w:cs="Calibri"/>
          <w:color w:val="212121"/>
          <w:sz w:val="20"/>
          <w:szCs w:val="20"/>
          <w:shd w:val="clear" w:color="auto" w:fill="FFFFFF"/>
        </w:rPr>
        <w:t>PLoS</w:t>
      </w:r>
      <w:proofErr w:type="spellEnd"/>
      <w:r w:rsidRPr="0099152D">
        <w:rPr>
          <w:rFonts w:ascii="Calibri" w:hAnsi="Calibri" w:cs="Calibri"/>
          <w:color w:val="212121"/>
          <w:sz w:val="20"/>
          <w:szCs w:val="20"/>
          <w:shd w:val="clear" w:color="auto" w:fill="FFFFFF"/>
        </w:rPr>
        <w:t xml:space="preserve"> One. 2012;7:e46366.</w:t>
      </w:r>
    </w:p>
    <w:p w14:paraId="6CD2995D" w14:textId="2AFAA08C" w:rsidR="00945FD7" w:rsidRDefault="0099152D" w:rsidP="0099152D">
      <w:pPr>
        <w:spacing w:after="0" w:line="240" w:lineRule="auto"/>
        <w:jc w:val="both"/>
        <w:rPr>
          <w:rFonts w:ascii="Calibri" w:hAnsi="Calibri" w:cs="Calibri"/>
          <w:color w:val="212121"/>
          <w:sz w:val="20"/>
          <w:szCs w:val="20"/>
          <w:shd w:val="clear" w:color="auto" w:fill="FFFFFF"/>
        </w:rPr>
      </w:pPr>
      <w:r w:rsidRPr="0099152D">
        <w:rPr>
          <w:rFonts w:ascii="Calibri" w:hAnsi="Calibri" w:cs="Calibri"/>
          <w:color w:val="212121"/>
          <w:sz w:val="20"/>
          <w:szCs w:val="20"/>
          <w:shd w:val="clear" w:color="auto" w:fill="FFFFFF"/>
        </w:rPr>
        <w:t xml:space="preserve">Byrne RA, Rossello X, Coughlan JJ, et al. 2023 ESC Guidelines for the management of acute coronary syndromes. </w:t>
      </w:r>
      <w:proofErr w:type="spellStart"/>
      <w:r w:rsidRPr="0099152D">
        <w:rPr>
          <w:rFonts w:ascii="Calibri" w:hAnsi="Calibri" w:cs="Calibri"/>
          <w:color w:val="212121"/>
          <w:sz w:val="20"/>
          <w:szCs w:val="20"/>
          <w:shd w:val="clear" w:color="auto" w:fill="FFFFFF"/>
        </w:rPr>
        <w:t>Eur</w:t>
      </w:r>
      <w:proofErr w:type="spellEnd"/>
      <w:r w:rsidRPr="0099152D">
        <w:rPr>
          <w:rFonts w:ascii="Calibri" w:hAnsi="Calibri" w:cs="Calibri"/>
          <w:color w:val="212121"/>
          <w:sz w:val="20"/>
          <w:szCs w:val="20"/>
          <w:shd w:val="clear" w:color="auto" w:fill="FFFFFF"/>
        </w:rPr>
        <w:t xml:space="preserve"> Heart J. 2023;44(38):3720–3826.</w:t>
      </w:r>
    </w:p>
    <w:p w14:paraId="212B50A4" w14:textId="77777777" w:rsidR="00945FD7" w:rsidRPr="00457ED2" w:rsidRDefault="00945FD7" w:rsidP="00457ED2">
      <w:pPr>
        <w:spacing w:after="0" w:line="240" w:lineRule="auto"/>
        <w:jc w:val="both"/>
        <w:rPr>
          <w:rFonts w:ascii="Calibri" w:eastAsia="Times New Roman" w:hAnsi="Calibri" w:cs="Calibri"/>
          <w:b/>
          <w:bCs/>
          <w:kern w:val="0"/>
          <w:sz w:val="20"/>
          <w:szCs w:val="20"/>
          <w14:ligatures w14:val="none"/>
        </w:rPr>
      </w:pPr>
    </w:p>
    <w:sectPr w:rsidR="00945FD7" w:rsidRPr="00457E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EA"/>
    <w:rsid w:val="000479C8"/>
    <w:rsid w:val="000F028A"/>
    <w:rsid w:val="00126A72"/>
    <w:rsid w:val="00192A06"/>
    <w:rsid w:val="002A0F9A"/>
    <w:rsid w:val="002E28E9"/>
    <w:rsid w:val="00315A15"/>
    <w:rsid w:val="003267AC"/>
    <w:rsid w:val="00383692"/>
    <w:rsid w:val="00457ED2"/>
    <w:rsid w:val="005514CE"/>
    <w:rsid w:val="00560B23"/>
    <w:rsid w:val="00945FD7"/>
    <w:rsid w:val="00971A2C"/>
    <w:rsid w:val="0099152D"/>
    <w:rsid w:val="009D7BE7"/>
    <w:rsid w:val="009D7CB9"/>
    <w:rsid w:val="00A16230"/>
    <w:rsid w:val="00A2296F"/>
    <w:rsid w:val="00B70FEA"/>
    <w:rsid w:val="00CD095E"/>
    <w:rsid w:val="00CF554E"/>
    <w:rsid w:val="00D10EFD"/>
    <w:rsid w:val="00F73D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326FD11"/>
  <w15:chartTrackingRefBased/>
  <w15:docId w15:val="{B727DD57-F684-A74B-A561-00C8033F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FEA"/>
    <w:rPr>
      <w:rFonts w:eastAsiaTheme="majorEastAsia" w:cstheme="majorBidi"/>
      <w:color w:val="272727" w:themeColor="text1" w:themeTint="D8"/>
    </w:rPr>
  </w:style>
  <w:style w:type="paragraph" w:styleId="Title">
    <w:name w:val="Title"/>
    <w:basedOn w:val="Normal"/>
    <w:next w:val="Normal"/>
    <w:link w:val="TitleChar"/>
    <w:uiPriority w:val="10"/>
    <w:qFormat/>
    <w:rsid w:val="00B70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FEA"/>
    <w:pPr>
      <w:spacing w:before="160"/>
      <w:jc w:val="center"/>
    </w:pPr>
    <w:rPr>
      <w:i/>
      <w:iCs/>
      <w:color w:val="404040" w:themeColor="text1" w:themeTint="BF"/>
    </w:rPr>
  </w:style>
  <w:style w:type="character" w:customStyle="1" w:styleId="QuoteChar">
    <w:name w:val="Quote Char"/>
    <w:basedOn w:val="DefaultParagraphFont"/>
    <w:link w:val="Quote"/>
    <w:uiPriority w:val="29"/>
    <w:rsid w:val="00B70FEA"/>
    <w:rPr>
      <w:i/>
      <w:iCs/>
      <w:color w:val="404040" w:themeColor="text1" w:themeTint="BF"/>
    </w:rPr>
  </w:style>
  <w:style w:type="paragraph" w:styleId="ListParagraph">
    <w:name w:val="List Paragraph"/>
    <w:basedOn w:val="Normal"/>
    <w:uiPriority w:val="34"/>
    <w:qFormat/>
    <w:rsid w:val="00B70FEA"/>
    <w:pPr>
      <w:ind w:left="720"/>
      <w:contextualSpacing/>
    </w:pPr>
  </w:style>
  <w:style w:type="character" w:styleId="IntenseEmphasis">
    <w:name w:val="Intense Emphasis"/>
    <w:basedOn w:val="DefaultParagraphFont"/>
    <w:uiPriority w:val="21"/>
    <w:qFormat/>
    <w:rsid w:val="00B70FEA"/>
    <w:rPr>
      <w:i/>
      <w:iCs/>
      <w:color w:val="0F4761" w:themeColor="accent1" w:themeShade="BF"/>
    </w:rPr>
  </w:style>
  <w:style w:type="paragraph" w:styleId="IntenseQuote">
    <w:name w:val="Intense Quote"/>
    <w:basedOn w:val="Normal"/>
    <w:next w:val="Normal"/>
    <w:link w:val="IntenseQuoteChar"/>
    <w:uiPriority w:val="30"/>
    <w:qFormat/>
    <w:rsid w:val="00B70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FEA"/>
    <w:rPr>
      <w:i/>
      <w:iCs/>
      <w:color w:val="0F4761" w:themeColor="accent1" w:themeShade="BF"/>
    </w:rPr>
  </w:style>
  <w:style w:type="character" w:styleId="IntenseReference">
    <w:name w:val="Intense Reference"/>
    <w:basedOn w:val="DefaultParagraphFont"/>
    <w:uiPriority w:val="32"/>
    <w:qFormat/>
    <w:rsid w:val="00B70FEA"/>
    <w:rPr>
      <w:b/>
      <w:bCs/>
      <w:smallCaps/>
      <w:color w:val="0F4761" w:themeColor="accent1" w:themeShade="BF"/>
      <w:spacing w:val="5"/>
    </w:rPr>
  </w:style>
  <w:style w:type="character" w:styleId="Strong">
    <w:name w:val="Strong"/>
    <w:basedOn w:val="DefaultParagraphFont"/>
    <w:uiPriority w:val="22"/>
    <w:qFormat/>
    <w:rsid w:val="00B70FEA"/>
    <w:rPr>
      <w:b/>
      <w:bCs/>
    </w:rPr>
  </w:style>
  <w:style w:type="paragraph" w:styleId="NormalWeb">
    <w:name w:val="Normal (Web)"/>
    <w:basedOn w:val="Normal"/>
    <w:uiPriority w:val="99"/>
    <w:semiHidden/>
    <w:unhideWhenUsed/>
    <w:rsid w:val="00B70F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70FEA"/>
    <w:rPr>
      <w:i/>
      <w:iCs/>
    </w:rPr>
  </w:style>
  <w:style w:type="character" w:customStyle="1" w:styleId="apple-converted-space">
    <w:name w:val="apple-converted-space"/>
    <w:basedOn w:val="DefaultParagraphFont"/>
    <w:rsid w:val="009D7CB9"/>
  </w:style>
  <w:style w:type="character" w:styleId="Hyperlink">
    <w:name w:val="Hyperlink"/>
    <w:basedOn w:val="DefaultParagraphFont"/>
    <w:uiPriority w:val="99"/>
    <w:unhideWhenUsed/>
    <w:rsid w:val="009D7CB9"/>
    <w:rPr>
      <w:color w:val="467886" w:themeColor="hyperlink"/>
      <w:u w:val="single"/>
    </w:rPr>
  </w:style>
  <w:style w:type="character" w:styleId="UnresolvedMention">
    <w:name w:val="Unresolved Mention"/>
    <w:basedOn w:val="DefaultParagraphFont"/>
    <w:uiPriority w:val="99"/>
    <w:semiHidden/>
    <w:unhideWhenUsed/>
    <w:rsid w:val="009D7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442</Words>
  <Characters>3030</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Gestina Aliska</dc:creator>
  <cp:keywords/>
  <dc:description/>
  <cp:lastModifiedBy>Gestina Aliska</cp:lastModifiedBy>
  <cp:revision>3</cp:revision>
  <dcterms:created xsi:type="dcterms:W3CDTF">2026-02-16T14:44:00Z</dcterms:created>
  <dcterms:modified xsi:type="dcterms:W3CDTF">2026-02-16T14:55:00Z</dcterms:modified>
</cp:coreProperties>
</file>