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0455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Updating AdrenoCortical Carcinoma preclinical models: characterization of two new patient-derived cell lines</w:t>
      </w:r>
    </w:p>
    <w:p w14:paraId="00000003" w14:textId="5E4B68D4" w:rsidR="00B04558" w:rsidRDefault="00000000" w:rsidP="00FE2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  <w:lang w:val="it-IT"/>
        </w:rPr>
      </w:pP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Andrea Abate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1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Mariangela Tamburello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1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Claudia Bonera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1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Guido AM Tiberio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2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Sara Baldelli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3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Mattia Carini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3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Alessia Inglesi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4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Maria Scatolini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4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Deborah Cosentini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5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Marta Laganà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5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Marta Leporati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6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Domenico Cosseddu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6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Duilio Brugnoni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3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Alfredo Berruti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5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 xml:space="preserve"> and Sandra Sigala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 xml:space="preserve">1 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Pharmacology Div, Univ of Brescia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1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, Brescia, IT. Surgical Clinic,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 xml:space="preserve"> 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Univ of Brescia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2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 xml:space="preserve">, Brescia, IT. 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3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 xml:space="preserve">Central Clinical Lab, ASST Spedali Civili, Brescia, IT. 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4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Molecular Oncology Lab, Fond</w:t>
      </w:r>
      <w:r w:rsidRPr="004A7D59">
        <w:rPr>
          <w:rFonts w:ascii="Calibri" w:eastAsia="Calibri" w:hAnsi="Calibri" w:cs="Calibri"/>
          <w:lang w:val="it-IT"/>
        </w:rPr>
        <w:t>.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 xml:space="preserve"> Edo ed Elvo Tempia, Biella, IT 5Medical Oncology Unit, Univ of Brescia, Brescia, IT. </w:t>
      </w:r>
      <w:r w:rsidRPr="004A7D59"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  <w:t>6</w:t>
      </w:r>
      <w:r w:rsidRPr="004A7D59">
        <w:rPr>
          <w:rFonts w:ascii="Calibri" w:eastAsia="Calibri" w:hAnsi="Calibri" w:cs="Calibri"/>
          <w:color w:val="000000"/>
          <w:sz w:val="20"/>
          <w:szCs w:val="20"/>
          <w:lang w:val="it-IT"/>
        </w:rPr>
        <w:t>Lab Medicine, Ordine Mauriziano hospital, Turin, IT</w:t>
      </w:r>
    </w:p>
    <w:p w14:paraId="683DE0EF" w14:textId="77777777" w:rsidR="00FE2B48" w:rsidRPr="00FE2B48" w:rsidRDefault="00FE2B48" w:rsidP="00FE2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  <w:vertAlign w:val="superscript"/>
          <w:lang w:val="it-IT"/>
        </w:rPr>
      </w:pPr>
    </w:p>
    <w:p w14:paraId="00000004" w14:textId="77777777" w:rsidR="00B0455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Introduction.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AdrenoCortical Carcinoma (ACC) is an aggressive rare malignancy. Mitotane is the reference drug alone or combined with etoposide, doxorubicine and cisplatin (EDP-M)</w:t>
      </w:r>
      <w:r>
        <w:rPr>
          <w:rFonts w:ascii="Calibri" w:eastAsia="Calibri" w:hAnsi="Calibri" w:cs="Calibri"/>
        </w:rPr>
        <w:t xml:space="preserve"> </w:t>
      </w:r>
      <w:r w:rsidRPr="004A7D59">
        <w:rPr>
          <w:rFonts w:ascii="Calibri" w:eastAsia="Calibri" w:hAnsi="Calibri" w:cs="Calibri"/>
          <w:color w:val="000000"/>
          <w:sz w:val="20"/>
          <w:szCs w:val="20"/>
        </w:rPr>
        <w:t>[Fassnacht M et al 2020].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</w:p>
    <w:p w14:paraId="00000005" w14:textId="77777777" w:rsidR="00B0455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Aims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Due to the high heterogeneity of ACC, preclinical investigation requires different experimental models: here we reported the development and characterization of two new human ACC cell lines, SMAC-2 and SMAC-3 cells. </w:t>
      </w:r>
    </w:p>
    <w:p w14:paraId="00000006" w14:textId="77777777" w:rsidR="00B04558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Methods</w:t>
      </w:r>
      <w:r>
        <w:rPr>
          <w:rFonts w:ascii="Calibri" w:eastAsia="Calibri" w:hAnsi="Calibri" w:cs="Calibri"/>
          <w:color w:val="000000"/>
          <w:sz w:val="20"/>
          <w:szCs w:val="20"/>
        </w:rPr>
        <w:t>. The characterization included their mutational profiling, an evaluation of steroidogenic enzymes expression, secretory activity and the expression of steroid hormone receptors. The proliferative ability of these cells within a zebrafish embryos xenograft was also evaluated.</w:t>
      </w:r>
    </w:p>
    <w:p w14:paraId="03B81EA6" w14:textId="28EB1C0C" w:rsidR="004A7D5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Results.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SMAC-2 originated from the primary mass of a metastatic EDP-M-treated ACC in a female patient with Cushing syndrome and hyperandrogenism, while SMAC-3 derived from a male patient with a mitotane-treated local recurrence, with no sign of hormone hypersecretion.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TP53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was mutated in both lines. SMAC-2 cells were characterized by a pathogenic alteration on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CTTNB1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gene and a deletion of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CDKN2A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gene, while SMAC-3 on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MSH2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gene. Basal hormonal status analysis showed a cell model-specific fingerprint either in the hormonal secretion and gene and protein expression of steroid hormone receptors. SMAC-2 secreted high levels of cortisol. Mitotane displayed in both cell lines a low potency. Under the experimental conditions used, the xenografted area did not increase for both cell models. </w:t>
      </w:r>
    </w:p>
    <w:p w14:paraId="4B10F522" w14:textId="6498F523" w:rsidR="00FE2B48" w:rsidRDefault="00000000" w:rsidP="00FE2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Discussion.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SMAC-2 and SMAC-3 display unique molecular and functional features, expanding the repertoire of experimental ACC models and representing valuable tools for preclinical research alongside established cell lines.</w:t>
      </w:r>
    </w:p>
    <w:p w14:paraId="572C6C81" w14:textId="77777777" w:rsidR="00FE2B48" w:rsidRDefault="00FE2B48" w:rsidP="00FE2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9" w14:textId="5B012D1C" w:rsidR="00B04558" w:rsidRPr="004A7D59" w:rsidRDefault="00000000" w:rsidP="00FE2B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  <w:r w:rsidRPr="004A7D59">
        <w:rPr>
          <w:rFonts w:ascii="Calibri" w:eastAsia="Calibri" w:hAnsi="Calibri" w:cs="Calibri"/>
          <w:color w:val="000000"/>
          <w:sz w:val="20"/>
          <w:szCs w:val="20"/>
        </w:rPr>
        <w:t>Fassnacht M et al. Adrenocortical carcinomas and malignant phaeochromocytomas: ESMO-EURACAN Clinical Practice Guidelines for diagnosis, treatment and follow-up. Ann Oncol. (2020);31(11):1476-90.</w:t>
      </w:r>
    </w:p>
    <w:sectPr w:rsidR="00B04558" w:rsidRPr="004A7D59">
      <w:pgSz w:w="11906" w:h="8391" w:orient="landscape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58"/>
    <w:rsid w:val="004A7D59"/>
    <w:rsid w:val="007B25F1"/>
    <w:rsid w:val="00B04558"/>
    <w:rsid w:val="00FE2B48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37E6"/>
  <w15:docId w15:val="{5A2B3E9E-8EBC-48C6-8384-E0F78046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b/>
      <w:kern w:val="28"/>
      <w:sz w:val="28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3">
    <w:name w:val="Body Text Indent 3"/>
    <w:basedOn w:val="Normale"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Titolo5Carattere">
    <w:name w:val="Titolo 5 Carattere"/>
    <w:rPr>
      <w:rFonts w:ascii="Calibri" w:eastAsia="PMingLiU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val="en-US" w:eastAsia="en-US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NormaleWeb">
    <w:name w:val="Normal (Web)"/>
    <w:basedOn w:val="Normale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u+yxOVUJoLGmqng/8d+D5r+gw==">CgMxLjA4AHIhMWRZYl8ybV9uZ1ZMNXlLbmdiM3lzX0l2TWhvczdQcTZp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gillard</dc:creator>
  <cp:lastModifiedBy>Andrea Abate</cp:lastModifiedBy>
  <cp:revision>4</cp:revision>
  <dcterms:created xsi:type="dcterms:W3CDTF">2025-01-04T09:52:00Z</dcterms:created>
  <dcterms:modified xsi:type="dcterms:W3CDTF">2025-09-12T16:17:00Z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