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056A09E" w14:textId="40B8B064" w:rsidR="00711813" w:rsidRPr="00FE5233" w:rsidRDefault="00D91C7D" w:rsidP="00711813">
      <w:pPr>
        <w:jc w:val="both"/>
        <w:rPr>
          <w:rFonts w:ascii="Calibri" w:hAnsi="Calibri" w:cs="Calibri"/>
          <w:b/>
          <w:sz w:val="20"/>
          <w:szCs w:val="20"/>
        </w:rPr>
      </w:pPr>
      <w:r w:rsidRPr="00FE5233">
        <w:rPr>
          <w:rFonts w:ascii="Calibri" w:hAnsi="Calibri" w:cs="Calibri"/>
          <w:b/>
          <w:sz w:val="20"/>
          <w:szCs w:val="20"/>
        </w:rPr>
        <w:t xml:space="preserve">Dexamethasone enhances prostaglandin E2-induced RGS2 to modulate </w:t>
      </w:r>
      <w:r w:rsidR="006626E8" w:rsidRPr="00FE5233">
        <w:rPr>
          <w:rFonts w:ascii="Calibri" w:hAnsi="Calibri" w:cs="Calibri"/>
          <w:b/>
          <w:sz w:val="20"/>
          <w:szCs w:val="20"/>
        </w:rPr>
        <w:t>uterine quiescence in pregnancy</w:t>
      </w:r>
    </w:p>
    <w:p w14:paraId="265CBA0C" w14:textId="3866A0DD" w:rsidR="00711813" w:rsidRPr="00FE5233" w:rsidRDefault="00384E7C" w:rsidP="00711813">
      <w:pPr>
        <w:jc w:val="both"/>
        <w:rPr>
          <w:rFonts w:ascii="Calibri" w:hAnsi="Calibri" w:cs="Calibri"/>
          <w:sz w:val="20"/>
          <w:szCs w:val="20"/>
        </w:rPr>
      </w:pPr>
      <w:r w:rsidRPr="00FE5233">
        <w:rPr>
          <w:rFonts w:ascii="Calibri" w:hAnsi="Calibri" w:cs="Calibri"/>
          <w:sz w:val="20"/>
          <w:szCs w:val="20"/>
        </w:rPr>
        <w:t>Kylie K Hornaday</w:t>
      </w:r>
      <w:r w:rsidRPr="00FE5233">
        <w:rPr>
          <w:rFonts w:ascii="Calibri" w:hAnsi="Calibri" w:cs="Calibri"/>
          <w:sz w:val="20"/>
          <w:szCs w:val="20"/>
          <w:vertAlign w:val="superscript"/>
        </w:rPr>
        <w:t>1</w:t>
      </w:r>
      <w:r w:rsidRPr="00FE5233">
        <w:rPr>
          <w:rFonts w:ascii="Calibri" w:hAnsi="Calibri" w:cs="Calibri"/>
          <w:sz w:val="20"/>
          <w:szCs w:val="20"/>
        </w:rPr>
        <w:t>, Daniela Urrego</w:t>
      </w:r>
      <w:r w:rsidRPr="00FE5233">
        <w:rPr>
          <w:rFonts w:ascii="Calibri" w:hAnsi="Calibri" w:cs="Calibri"/>
          <w:sz w:val="20"/>
          <w:szCs w:val="20"/>
          <w:vertAlign w:val="superscript"/>
        </w:rPr>
        <w:t>2</w:t>
      </w:r>
      <w:r w:rsidRPr="00FE5233">
        <w:rPr>
          <w:rFonts w:ascii="Calibri" w:hAnsi="Calibri" w:cs="Calibri"/>
          <w:sz w:val="20"/>
          <w:szCs w:val="20"/>
        </w:rPr>
        <w:t>, Stephen Wood</w:t>
      </w:r>
      <w:r w:rsidRPr="00FE5233">
        <w:rPr>
          <w:rFonts w:ascii="Calibri" w:hAnsi="Calibri" w:cs="Calibri"/>
          <w:sz w:val="20"/>
          <w:szCs w:val="20"/>
          <w:vertAlign w:val="superscript"/>
        </w:rPr>
        <w:t>2</w:t>
      </w:r>
      <w:r w:rsidRPr="00FE5233">
        <w:rPr>
          <w:rFonts w:ascii="Calibri" w:hAnsi="Calibri" w:cs="Calibri"/>
          <w:sz w:val="20"/>
          <w:szCs w:val="20"/>
        </w:rPr>
        <w:t>, Robert Newton</w:t>
      </w:r>
      <w:r w:rsidRPr="00FE5233">
        <w:rPr>
          <w:rFonts w:ascii="Calibri" w:hAnsi="Calibri" w:cs="Calibri"/>
          <w:sz w:val="20"/>
          <w:szCs w:val="20"/>
          <w:vertAlign w:val="superscript"/>
        </w:rPr>
        <w:t>1</w:t>
      </w:r>
      <w:r w:rsidRPr="00FE5233">
        <w:rPr>
          <w:rFonts w:ascii="Calibri" w:hAnsi="Calibri" w:cs="Calibri"/>
          <w:sz w:val="20"/>
          <w:szCs w:val="20"/>
        </w:rPr>
        <w:t>, Donna M Slater</w:t>
      </w:r>
      <w:r w:rsidRPr="00FE5233">
        <w:rPr>
          <w:rFonts w:ascii="Calibri" w:hAnsi="Calibri" w:cs="Calibri"/>
          <w:sz w:val="20"/>
          <w:szCs w:val="20"/>
          <w:vertAlign w:val="superscript"/>
        </w:rPr>
        <w:t>1,2</w:t>
      </w:r>
      <w:r w:rsidRPr="00FE5233">
        <w:rPr>
          <w:rFonts w:ascii="Calibri" w:hAnsi="Calibri" w:cs="Calibri"/>
          <w:sz w:val="20"/>
          <w:szCs w:val="20"/>
        </w:rPr>
        <w:t>. Dep</w:t>
      </w:r>
      <w:r w:rsidR="00612B0D" w:rsidRPr="00FE5233">
        <w:rPr>
          <w:rFonts w:ascii="Calibri" w:hAnsi="Calibri" w:cs="Calibri"/>
          <w:sz w:val="20"/>
          <w:szCs w:val="20"/>
        </w:rPr>
        <w:t>artment</w:t>
      </w:r>
      <w:r w:rsidRPr="00FE5233">
        <w:rPr>
          <w:rFonts w:ascii="Calibri" w:hAnsi="Calibri" w:cs="Calibri"/>
          <w:sz w:val="20"/>
          <w:szCs w:val="20"/>
        </w:rPr>
        <w:t xml:space="preserve"> of Pharmacology &amp; Physiology</w:t>
      </w:r>
      <w:r w:rsidRPr="00FE5233">
        <w:rPr>
          <w:rFonts w:ascii="Calibri" w:hAnsi="Calibri" w:cs="Calibri"/>
          <w:sz w:val="20"/>
          <w:szCs w:val="20"/>
          <w:vertAlign w:val="superscript"/>
        </w:rPr>
        <w:t>1</w:t>
      </w:r>
      <w:r w:rsidRPr="00FE5233">
        <w:rPr>
          <w:rFonts w:ascii="Calibri" w:hAnsi="Calibri" w:cs="Calibri"/>
          <w:sz w:val="20"/>
          <w:szCs w:val="20"/>
        </w:rPr>
        <w:t>, Dep</w:t>
      </w:r>
      <w:r w:rsidR="00612B0D" w:rsidRPr="00FE5233">
        <w:rPr>
          <w:rFonts w:ascii="Calibri" w:hAnsi="Calibri" w:cs="Calibri"/>
          <w:sz w:val="20"/>
          <w:szCs w:val="20"/>
        </w:rPr>
        <w:t>artment</w:t>
      </w:r>
      <w:r w:rsidRPr="00FE5233">
        <w:rPr>
          <w:rFonts w:ascii="Calibri" w:hAnsi="Calibri" w:cs="Calibri"/>
          <w:sz w:val="20"/>
          <w:szCs w:val="20"/>
        </w:rPr>
        <w:t xml:space="preserve"> of Obstetrics &amp; Gynecology</w:t>
      </w:r>
      <w:r w:rsidRPr="00FE5233">
        <w:rPr>
          <w:rFonts w:ascii="Calibri" w:hAnsi="Calibri" w:cs="Calibri"/>
          <w:sz w:val="20"/>
          <w:szCs w:val="20"/>
          <w:vertAlign w:val="superscript"/>
        </w:rPr>
        <w:t>2</w:t>
      </w:r>
      <w:r w:rsidRPr="00FE5233">
        <w:rPr>
          <w:rFonts w:ascii="Calibri" w:hAnsi="Calibri" w:cs="Calibri"/>
          <w:sz w:val="20"/>
          <w:szCs w:val="20"/>
        </w:rPr>
        <w:t>,</w:t>
      </w:r>
      <w:r w:rsidRPr="00FE5233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Pr="00FE5233">
        <w:rPr>
          <w:rFonts w:ascii="Calibri" w:hAnsi="Calibri" w:cs="Calibri"/>
          <w:sz w:val="20"/>
          <w:szCs w:val="20"/>
        </w:rPr>
        <w:t>University of Calgary, AB, Canada</w:t>
      </w:r>
      <w:r w:rsidRPr="00FE5233">
        <w:rPr>
          <w:rFonts w:ascii="Calibri" w:hAnsi="Calibri" w:cs="Calibri"/>
          <w:sz w:val="20"/>
          <w:szCs w:val="20"/>
          <w:vertAlign w:val="superscript"/>
        </w:rPr>
        <w:t>1,2</w:t>
      </w:r>
      <w:r w:rsidRPr="00FE5233">
        <w:rPr>
          <w:rFonts w:ascii="Calibri" w:hAnsi="Calibri" w:cs="Calibri"/>
          <w:sz w:val="20"/>
          <w:szCs w:val="20"/>
        </w:rPr>
        <w:t> </w:t>
      </w:r>
    </w:p>
    <w:p w14:paraId="4E5A205F" w14:textId="1CE86686" w:rsidR="00711813" w:rsidRPr="00FE5233" w:rsidRDefault="00711813" w:rsidP="00711813">
      <w:pPr>
        <w:pStyle w:val="Default"/>
        <w:jc w:val="both"/>
        <w:rPr>
          <w:color w:val="auto"/>
          <w:sz w:val="20"/>
          <w:szCs w:val="20"/>
          <w:lang w:val="en-CA"/>
        </w:rPr>
      </w:pPr>
      <w:r w:rsidRPr="00FE5233">
        <w:rPr>
          <w:i/>
          <w:color w:val="auto"/>
          <w:sz w:val="20"/>
          <w:szCs w:val="20"/>
          <w:lang w:val="en-CA"/>
        </w:rPr>
        <w:t xml:space="preserve"> </w:t>
      </w:r>
    </w:p>
    <w:p w14:paraId="7298B752" w14:textId="4EB4420A" w:rsidR="00711813" w:rsidRPr="00FE5233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FE5233">
        <w:rPr>
          <w:rFonts w:ascii="Calibri" w:hAnsi="Calibri" w:cs="Calibri"/>
          <w:b/>
          <w:bCs/>
          <w:sz w:val="20"/>
          <w:szCs w:val="20"/>
        </w:rPr>
        <w:t>Introduction.</w:t>
      </w:r>
      <w:r w:rsidRPr="00FE5233">
        <w:rPr>
          <w:rFonts w:ascii="Calibri" w:hAnsi="Calibri" w:cs="Calibri"/>
          <w:sz w:val="20"/>
          <w:szCs w:val="20"/>
        </w:rPr>
        <w:t xml:space="preserve"> </w:t>
      </w:r>
      <w:r w:rsidR="008A0471" w:rsidRPr="00FE5233">
        <w:rPr>
          <w:rFonts w:ascii="Calibri" w:hAnsi="Calibri" w:cs="Calibri"/>
          <w:sz w:val="20"/>
          <w:szCs w:val="20"/>
        </w:rPr>
        <w:t xml:space="preserve">Maintenance of uterine quiescence </w:t>
      </w:r>
      <w:r w:rsidR="00DD7980">
        <w:rPr>
          <w:rFonts w:ascii="Calibri" w:hAnsi="Calibri" w:cs="Calibri"/>
          <w:sz w:val="20"/>
          <w:szCs w:val="20"/>
        </w:rPr>
        <w:t xml:space="preserve">during pregnancy </w:t>
      </w:r>
      <w:r w:rsidR="008A0471" w:rsidRPr="00FE5233">
        <w:rPr>
          <w:rFonts w:ascii="Calibri" w:hAnsi="Calibri" w:cs="Calibri"/>
          <w:sz w:val="20"/>
          <w:szCs w:val="20"/>
        </w:rPr>
        <w:t xml:space="preserve">involves </w:t>
      </w:r>
      <w:r w:rsidR="00DB54DF">
        <w:rPr>
          <w:rFonts w:ascii="Calibri" w:hAnsi="Calibri" w:cs="Calibri"/>
          <w:sz w:val="20"/>
          <w:szCs w:val="20"/>
        </w:rPr>
        <w:t xml:space="preserve">precise </w:t>
      </w:r>
      <w:r w:rsidR="008A0471" w:rsidRPr="00FE5233">
        <w:rPr>
          <w:rFonts w:ascii="Calibri" w:hAnsi="Calibri" w:cs="Calibri"/>
          <w:sz w:val="20"/>
          <w:szCs w:val="20"/>
        </w:rPr>
        <w:t xml:space="preserve">regulation of </w:t>
      </w:r>
      <w:r w:rsidR="00DD7980">
        <w:rPr>
          <w:rFonts w:ascii="Calibri" w:hAnsi="Calibri" w:cs="Calibri"/>
          <w:sz w:val="20"/>
          <w:szCs w:val="20"/>
        </w:rPr>
        <w:t>G protein coupled receptor (G</w:t>
      </w:r>
      <w:r w:rsidR="008A0471" w:rsidRPr="00FE5233">
        <w:rPr>
          <w:rFonts w:ascii="Calibri" w:hAnsi="Calibri" w:cs="Calibri"/>
          <w:sz w:val="20"/>
          <w:szCs w:val="20"/>
        </w:rPr>
        <w:t>PCR</w:t>
      </w:r>
      <w:r w:rsidR="00DD7980">
        <w:rPr>
          <w:rFonts w:ascii="Calibri" w:hAnsi="Calibri" w:cs="Calibri"/>
          <w:sz w:val="20"/>
          <w:szCs w:val="20"/>
        </w:rPr>
        <w:t>)</w:t>
      </w:r>
      <w:r w:rsidR="008A0471" w:rsidRPr="00FE5233">
        <w:rPr>
          <w:rFonts w:ascii="Calibri" w:hAnsi="Calibri" w:cs="Calibri"/>
          <w:sz w:val="20"/>
          <w:szCs w:val="20"/>
        </w:rPr>
        <w:t xml:space="preserve">-mediated pro-contractile </w:t>
      </w:r>
      <w:r w:rsidR="00F64EB3" w:rsidRPr="00FE5233">
        <w:rPr>
          <w:rFonts w:ascii="Calibri" w:hAnsi="Calibri" w:cs="Calibri"/>
          <w:sz w:val="20"/>
          <w:szCs w:val="20"/>
        </w:rPr>
        <w:t>signalling. RGS2 (regulator of g-protein signalling</w:t>
      </w:r>
      <w:r w:rsidR="00DB54DF">
        <w:rPr>
          <w:rFonts w:ascii="Calibri" w:hAnsi="Calibri" w:cs="Calibri"/>
          <w:sz w:val="20"/>
          <w:szCs w:val="20"/>
        </w:rPr>
        <w:t xml:space="preserve"> 2</w:t>
      </w:r>
      <w:r w:rsidR="00F64EB3" w:rsidRPr="00FE5233">
        <w:rPr>
          <w:rFonts w:ascii="Calibri" w:hAnsi="Calibri" w:cs="Calibri"/>
          <w:sz w:val="20"/>
          <w:szCs w:val="20"/>
        </w:rPr>
        <w:t xml:space="preserve">), a GTPase-activating protein, terminates </w:t>
      </w:r>
      <w:proofErr w:type="spellStart"/>
      <w:r w:rsidR="00F64EB3" w:rsidRPr="00FE5233">
        <w:rPr>
          <w:rFonts w:ascii="Calibri" w:hAnsi="Calibri" w:cs="Calibri"/>
          <w:sz w:val="20"/>
          <w:szCs w:val="20"/>
        </w:rPr>
        <w:t>Gq</w:t>
      </w:r>
      <w:proofErr w:type="spellEnd"/>
      <w:r w:rsidR="00F64EB3" w:rsidRPr="00FE5233">
        <w:rPr>
          <w:rFonts w:ascii="Calibri" w:hAnsi="Calibri" w:cs="Calibri"/>
          <w:sz w:val="20"/>
          <w:szCs w:val="20"/>
        </w:rPr>
        <w:t>-dependent pathways and may be a critical modulator of myometrial contractility. Prostaglandin E2 (PGE2) exerts</w:t>
      </w:r>
      <w:r w:rsidR="001C194B">
        <w:rPr>
          <w:rFonts w:ascii="Calibri" w:hAnsi="Calibri" w:cs="Calibri"/>
          <w:sz w:val="20"/>
          <w:szCs w:val="20"/>
        </w:rPr>
        <w:t xml:space="preserve"> pro-labour and pro-quiescent</w:t>
      </w:r>
      <w:r w:rsidR="00F64EB3" w:rsidRPr="00FE5233">
        <w:rPr>
          <w:rFonts w:ascii="Calibri" w:hAnsi="Calibri" w:cs="Calibri"/>
          <w:sz w:val="20"/>
          <w:szCs w:val="20"/>
        </w:rPr>
        <w:t xml:space="preserve"> effects</w:t>
      </w:r>
      <w:r w:rsidR="001C194B">
        <w:rPr>
          <w:rFonts w:ascii="Calibri" w:hAnsi="Calibri" w:cs="Calibri"/>
          <w:sz w:val="20"/>
          <w:szCs w:val="20"/>
        </w:rPr>
        <w:t xml:space="preserve"> </w:t>
      </w:r>
      <w:r w:rsidR="00F64EB3" w:rsidRPr="00FE5233">
        <w:rPr>
          <w:rFonts w:ascii="Calibri" w:hAnsi="Calibri" w:cs="Calibri"/>
          <w:sz w:val="20"/>
          <w:szCs w:val="20"/>
        </w:rPr>
        <w:t xml:space="preserve">on the myometrium via </w:t>
      </w:r>
      <w:r w:rsidR="00830E8A">
        <w:rPr>
          <w:rFonts w:ascii="Calibri" w:hAnsi="Calibri" w:cs="Calibri"/>
          <w:sz w:val="20"/>
          <w:szCs w:val="20"/>
        </w:rPr>
        <w:t xml:space="preserve">GPCRs </w:t>
      </w:r>
      <w:r w:rsidR="00F64EB3" w:rsidRPr="00FE5233">
        <w:rPr>
          <w:rFonts w:ascii="Calibri" w:hAnsi="Calibri" w:cs="Calibri"/>
          <w:sz w:val="20"/>
          <w:szCs w:val="20"/>
        </w:rPr>
        <w:t>EP1-EP4, but its interaction with RGS2 and modulation by pharmacological agents, such as corticosteroids used in antenatal care, is poorly understood.</w:t>
      </w:r>
    </w:p>
    <w:p w14:paraId="67BDCAAF" w14:textId="48E1E3AE" w:rsidR="00711813" w:rsidRPr="00FE5233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FE5233">
        <w:rPr>
          <w:rFonts w:ascii="Calibri" w:hAnsi="Calibri" w:cs="Calibri"/>
          <w:b/>
          <w:bCs/>
          <w:sz w:val="20"/>
          <w:szCs w:val="20"/>
        </w:rPr>
        <w:t>Aim</w:t>
      </w:r>
      <w:r w:rsidRPr="00FE5233">
        <w:rPr>
          <w:rFonts w:ascii="Calibri" w:hAnsi="Calibri" w:cs="Calibri"/>
          <w:sz w:val="20"/>
          <w:szCs w:val="20"/>
        </w:rPr>
        <w:t xml:space="preserve">. </w:t>
      </w:r>
      <w:r w:rsidR="00F64EB3" w:rsidRPr="00FE5233">
        <w:rPr>
          <w:rFonts w:ascii="Calibri" w:hAnsi="Calibri" w:cs="Calibri"/>
          <w:sz w:val="20"/>
          <w:szCs w:val="20"/>
        </w:rPr>
        <w:t>To investigate whether dexamethasone modulates RGS2 expression via PGE2 signalling and its impact on myometrial contractility.</w:t>
      </w:r>
    </w:p>
    <w:p w14:paraId="77158C30" w14:textId="4198E679" w:rsidR="00711813" w:rsidRPr="00FE5233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FE5233">
        <w:rPr>
          <w:rFonts w:ascii="Calibri" w:hAnsi="Calibri" w:cs="Calibri"/>
          <w:b/>
          <w:bCs/>
          <w:sz w:val="20"/>
          <w:szCs w:val="20"/>
        </w:rPr>
        <w:t>Methods</w:t>
      </w:r>
      <w:r w:rsidRPr="00FE5233">
        <w:rPr>
          <w:rFonts w:ascii="Calibri" w:hAnsi="Calibri" w:cs="Calibri"/>
          <w:sz w:val="20"/>
          <w:szCs w:val="20"/>
        </w:rPr>
        <w:t xml:space="preserve">. </w:t>
      </w:r>
      <w:r w:rsidR="00255EC0" w:rsidRPr="00677A4D">
        <w:rPr>
          <w:rFonts w:ascii="Calibri" w:hAnsi="Calibri" w:cs="Calibri"/>
          <w:i/>
          <w:iCs/>
          <w:sz w:val="20"/>
          <w:szCs w:val="20"/>
        </w:rPr>
        <w:t>RGS2</w:t>
      </w:r>
      <w:r w:rsidR="00255EC0" w:rsidRPr="00255EC0">
        <w:rPr>
          <w:rFonts w:ascii="Calibri" w:hAnsi="Calibri" w:cs="Calibri"/>
          <w:sz w:val="20"/>
          <w:szCs w:val="20"/>
        </w:rPr>
        <w:t xml:space="preserve"> expression was assessed in tissue isolated from </w:t>
      </w:r>
      <w:r w:rsidR="00CE5C6C">
        <w:rPr>
          <w:rFonts w:ascii="Calibri" w:hAnsi="Calibri" w:cs="Calibri"/>
          <w:sz w:val="20"/>
          <w:szCs w:val="20"/>
        </w:rPr>
        <w:t xml:space="preserve">n=6 </w:t>
      </w:r>
      <w:r w:rsidR="00255EC0" w:rsidRPr="00255EC0">
        <w:rPr>
          <w:rFonts w:ascii="Calibri" w:hAnsi="Calibri" w:cs="Calibri"/>
          <w:sz w:val="20"/>
          <w:szCs w:val="20"/>
        </w:rPr>
        <w:t>term caesarean biopsies (lower and upper segment myometrium). In parallel, primary myometrial cells were isolated from the same biopsies and treated with PGE2, dexamethasone, and EP receptor-selective antagonists. Timed pregnant wild-type and Rgs2</w:t>
      </w:r>
      <w:r w:rsidR="00255EC0" w:rsidRPr="00677A4D">
        <w:rPr>
          <w:rFonts w:ascii="Calibri" w:hAnsi="Calibri" w:cs="Calibri"/>
          <w:sz w:val="20"/>
          <w:szCs w:val="20"/>
          <w:vertAlign w:val="superscript"/>
        </w:rPr>
        <w:t>-/-</w:t>
      </w:r>
      <w:r w:rsidR="00255EC0" w:rsidRPr="00255EC0">
        <w:rPr>
          <w:rFonts w:ascii="Calibri" w:hAnsi="Calibri" w:cs="Calibri"/>
          <w:sz w:val="20"/>
          <w:szCs w:val="20"/>
        </w:rPr>
        <w:t xml:space="preserve"> mice were also studied, with uterine cells harvested at gestational days 18–19.</w:t>
      </w:r>
      <w:r w:rsidR="00677A4D">
        <w:rPr>
          <w:rFonts w:ascii="Calibri" w:hAnsi="Calibri" w:cs="Calibri"/>
          <w:sz w:val="20"/>
          <w:szCs w:val="20"/>
        </w:rPr>
        <w:t xml:space="preserve"> </w:t>
      </w:r>
      <w:r w:rsidR="00653020" w:rsidRPr="00FE5233">
        <w:rPr>
          <w:rFonts w:ascii="Calibri" w:hAnsi="Calibri" w:cs="Calibri"/>
          <w:sz w:val="20"/>
          <w:szCs w:val="20"/>
        </w:rPr>
        <w:t>Myometrial responses were measured using RT-PCR and calcium fluorescence assays following stimulation with oxytocin, prostaglandin F2α, and histamine.</w:t>
      </w:r>
    </w:p>
    <w:p w14:paraId="10B00DDE" w14:textId="3D298F6E" w:rsidR="00711813" w:rsidRPr="00FE5233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FE5233">
        <w:rPr>
          <w:rFonts w:ascii="Calibri" w:hAnsi="Calibri" w:cs="Calibri"/>
          <w:b/>
          <w:bCs/>
          <w:sz w:val="20"/>
          <w:szCs w:val="20"/>
        </w:rPr>
        <w:t>Results.</w:t>
      </w:r>
      <w:r w:rsidRPr="00FE5233">
        <w:rPr>
          <w:rFonts w:ascii="Calibri" w:hAnsi="Calibri" w:cs="Calibri"/>
          <w:sz w:val="20"/>
          <w:szCs w:val="20"/>
        </w:rPr>
        <w:t xml:space="preserve"> </w:t>
      </w:r>
      <w:r w:rsidR="006A13E7" w:rsidRPr="006A13E7">
        <w:rPr>
          <w:rFonts w:ascii="Calibri" w:hAnsi="Calibri" w:cs="Calibri"/>
          <w:sz w:val="20"/>
          <w:szCs w:val="20"/>
        </w:rPr>
        <w:t xml:space="preserve">RGS2 expression was increased with labour in lower-segment, but not upper-segment, myometrium. In primary human myometrial cells, PGE2 induced RGS2 expression via EP2 and EP4 receptors, an effect potentiated by co-treatment with dexamethasone, whereas dexamethasone alone had no effect. Overexpression of RGS2 </w:t>
      </w:r>
      <w:r w:rsidR="005B789B">
        <w:rPr>
          <w:rFonts w:ascii="Calibri" w:hAnsi="Calibri" w:cs="Calibri"/>
          <w:sz w:val="20"/>
          <w:szCs w:val="20"/>
        </w:rPr>
        <w:t>decreased</w:t>
      </w:r>
      <w:r w:rsidR="005B789B" w:rsidRPr="006A13E7">
        <w:rPr>
          <w:rFonts w:ascii="Calibri" w:hAnsi="Calibri" w:cs="Calibri"/>
          <w:sz w:val="20"/>
          <w:szCs w:val="20"/>
        </w:rPr>
        <w:t xml:space="preserve"> </w:t>
      </w:r>
      <w:r w:rsidR="006A13E7" w:rsidRPr="006A13E7">
        <w:rPr>
          <w:rFonts w:ascii="Calibri" w:hAnsi="Calibri" w:cs="Calibri"/>
          <w:sz w:val="20"/>
          <w:szCs w:val="20"/>
        </w:rPr>
        <w:t>calcium flux in response to oxytocin and histamine, while Rgs2</w:t>
      </w:r>
      <w:r w:rsidR="006A13E7" w:rsidRPr="006A13E7">
        <w:rPr>
          <w:rFonts w:ascii="Calibri" w:hAnsi="Calibri" w:cs="Calibri"/>
          <w:sz w:val="20"/>
          <w:szCs w:val="20"/>
          <w:vertAlign w:val="superscript"/>
        </w:rPr>
        <w:t>-/-</w:t>
      </w:r>
      <w:r w:rsidR="006A13E7" w:rsidRPr="006A13E7">
        <w:rPr>
          <w:rFonts w:ascii="Calibri" w:hAnsi="Calibri" w:cs="Calibri"/>
          <w:sz w:val="20"/>
          <w:szCs w:val="20"/>
        </w:rPr>
        <w:t xml:space="preserve"> cells exhibited </w:t>
      </w:r>
      <w:r w:rsidR="005B789B">
        <w:rPr>
          <w:rFonts w:ascii="Calibri" w:hAnsi="Calibri" w:cs="Calibri"/>
          <w:sz w:val="20"/>
          <w:szCs w:val="20"/>
        </w:rPr>
        <w:t>enhanced</w:t>
      </w:r>
      <w:r w:rsidR="006A13E7" w:rsidRPr="006A13E7">
        <w:rPr>
          <w:rFonts w:ascii="Calibri" w:hAnsi="Calibri" w:cs="Calibri"/>
          <w:sz w:val="20"/>
          <w:szCs w:val="20"/>
        </w:rPr>
        <w:t xml:space="preserve"> calcium responses to GPCR agonists. These findings indicate that RGS2 modulates GPCR-driven contractile signalling and that dexamethasone amplifies this effect via PGE2.</w:t>
      </w:r>
    </w:p>
    <w:p w14:paraId="5D0CFD54" w14:textId="0E77C855" w:rsidR="00EE6549" w:rsidRPr="00CE5C6C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FE5233">
        <w:rPr>
          <w:rFonts w:ascii="Calibri" w:hAnsi="Calibri" w:cs="Calibri"/>
          <w:b/>
          <w:bCs/>
          <w:sz w:val="20"/>
          <w:szCs w:val="20"/>
        </w:rPr>
        <w:t>Discussion.</w:t>
      </w:r>
      <w:r w:rsidRPr="00FE5233">
        <w:rPr>
          <w:rFonts w:ascii="Calibri" w:hAnsi="Calibri" w:cs="Calibri"/>
          <w:sz w:val="20"/>
          <w:szCs w:val="20"/>
        </w:rPr>
        <w:t xml:space="preserve"> </w:t>
      </w:r>
      <w:r w:rsidR="00FE5233" w:rsidRPr="00FE5233">
        <w:rPr>
          <w:rFonts w:ascii="Calibri" w:hAnsi="Calibri" w:cs="Calibri"/>
          <w:sz w:val="20"/>
          <w:szCs w:val="20"/>
        </w:rPr>
        <w:t xml:space="preserve">Dexamethasone acts as a pharmacological modulator of myometrial GPCR signalling by enhancing PGE2-induced RGS2 expression. </w:t>
      </w:r>
      <w:r w:rsidR="009151D5" w:rsidRPr="009151D5">
        <w:rPr>
          <w:rFonts w:ascii="Calibri" w:hAnsi="Calibri" w:cs="Calibri"/>
          <w:sz w:val="20"/>
          <w:szCs w:val="20"/>
        </w:rPr>
        <w:t xml:space="preserve">While this effect may contribute to uterine quiescence, it also highlights that antenatal corticosteroids could have unintended effects on uterine function, potentially altering responsiveness to labour-inducing signals. </w:t>
      </w:r>
      <w:r w:rsidR="00393591">
        <w:rPr>
          <w:rFonts w:ascii="Calibri" w:hAnsi="Calibri" w:cs="Calibri"/>
          <w:sz w:val="20"/>
          <w:szCs w:val="20"/>
        </w:rPr>
        <w:t>We propose RGS2 as a</w:t>
      </w:r>
      <w:r w:rsidR="00FE5233" w:rsidRPr="00FE5233">
        <w:rPr>
          <w:rFonts w:ascii="Calibri" w:hAnsi="Calibri" w:cs="Calibri"/>
          <w:sz w:val="20"/>
          <w:szCs w:val="20"/>
        </w:rPr>
        <w:t xml:space="preserve"> regulator of uterine quiescence, representing a potential target for pharmacological strategies to</w:t>
      </w:r>
      <w:r w:rsidR="00BE4213">
        <w:rPr>
          <w:rFonts w:ascii="Calibri" w:hAnsi="Calibri" w:cs="Calibri"/>
          <w:sz w:val="20"/>
          <w:szCs w:val="20"/>
        </w:rPr>
        <w:t xml:space="preserve"> treat</w:t>
      </w:r>
      <w:r w:rsidR="00FE5233" w:rsidRPr="00FE5233">
        <w:rPr>
          <w:rFonts w:ascii="Calibri" w:hAnsi="Calibri" w:cs="Calibri"/>
          <w:sz w:val="20"/>
          <w:szCs w:val="20"/>
        </w:rPr>
        <w:t xml:space="preserve"> preterm labour. </w:t>
      </w:r>
      <w:r w:rsidR="00A87172" w:rsidRPr="00FE5233">
        <w:rPr>
          <w:rFonts w:ascii="Calibri" w:hAnsi="Calibri" w:cs="Calibri"/>
          <w:sz w:val="20"/>
          <w:szCs w:val="20"/>
        </w:rPr>
        <w:t xml:space="preserve"> </w:t>
      </w:r>
    </w:p>
    <w:sectPr w:rsidR="00EE6549" w:rsidRPr="00CE5C6C" w:rsidSect="005D1700">
      <w:pgSz w:w="595.30pt" w:h="419.55pt" w:orient="landscape" w:code="11"/>
      <w:pgMar w:top="42.55pt" w:right="56.70pt" w:bottom="42.55pt" w:left="56.70pt" w:header="35.45pt" w:footer="35.45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trackRevisions/>
  <w:defaultTabStop w:val="36pt"/>
  <w:drawingGridHorizontalSpacing w:val="2.85pt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6642D"/>
    <w:rsid w:val="000A4FA6"/>
    <w:rsid w:val="001C194B"/>
    <w:rsid w:val="001C360E"/>
    <w:rsid w:val="001F1272"/>
    <w:rsid w:val="002226BB"/>
    <w:rsid w:val="002239ED"/>
    <w:rsid w:val="002272B0"/>
    <w:rsid w:val="00255EC0"/>
    <w:rsid w:val="002B4257"/>
    <w:rsid w:val="00300B92"/>
    <w:rsid w:val="00316C0B"/>
    <w:rsid w:val="003238D9"/>
    <w:rsid w:val="00376E5F"/>
    <w:rsid w:val="00384E7C"/>
    <w:rsid w:val="00387491"/>
    <w:rsid w:val="00393591"/>
    <w:rsid w:val="003F257C"/>
    <w:rsid w:val="00444224"/>
    <w:rsid w:val="00483B05"/>
    <w:rsid w:val="00490A2A"/>
    <w:rsid w:val="004A2626"/>
    <w:rsid w:val="004E28B9"/>
    <w:rsid w:val="004E50FC"/>
    <w:rsid w:val="004E5450"/>
    <w:rsid w:val="00536179"/>
    <w:rsid w:val="00540382"/>
    <w:rsid w:val="00585FC7"/>
    <w:rsid w:val="0059609A"/>
    <w:rsid w:val="00597659"/>
    <w:rsid w:val="005B789B"/>
    <w:rsid w:val="005D1700"/>
    <w:rsid w:val="005D760B"/>
    <w:rsid w:val="005E48A2"/>
    <w:rsid w:val="005E62BE"/>
    <w:rsid w:val="005F6FDC"/>
    <w:rsid w:val="00612B0D"/>
    <w:rsid w:val="00653020"/>
    <w:rsid w:val="006626E8"/>
    <w:rsid w:val="00677A4D"/>
    <w:rsid w:val="006A13E7"/>
    <w:rsid w:val="00711813"/>
    <w:rsid w:val="007232FD"/>
    <w:rsid w:val="00724E3C"/>
    <w:rsid w:val="007254D2"/>
    <w:rsid w:val="00743C46"/>
    <w:rsid w:val="007471E2"/>
    <w:rsid w:val="00760B17"/>
    <w:rsid w:val="00764B3A"/>
    <w:rsid w:val="007A403E"/>
    <w:rsid w:val="007D72EA"/>
    <w:rsid w:val="008242B8"/>
    <w:rsid w:val="00830E8A"/>
    <w:rsid w:val="00860114"/>
    <w:rsid w:val="00885303"/>
    <w:rsid w:val="008909C9"/>
    <w:rsid w:val="008A0471"/>
    <w:rsid w:val="00906C4B"/>
    <w:rsid w:val="009151D5"/>
    <w:rsid w:val="00934828"/>
    <w:rsid w:val="00944D7C"/>
    <w:rsid w:val="00947B77"/>
    <w:rsid w:val="009E1A00"/>
    <w:rsid w:val="009E2228"/>
    <w:rsid w:val="009E710D"/>
    <w:rsid w:val="009F06D6"/>
    <w:rsid w:val="00A266B4"/>
    <w:rsid w:val="00A71DEF"/>
    <w:rsid w:val="00A821DC"/>
    <w:rsid w:val="00A82B75"/>
    <w:rsid w:val="00A87172"/>
    <w:rsid w:val="00AA2480"/>
    <w:rsid w:val="00AE2DA6"/>
    <w:rsid w:val="00AE6803"/>
    <w:rsid w:val="00B2439C"/>
    <w:rsid w:val="00B6022C"/>
    <w:rsid w:val="00B94FCE"/>
    <w:rsid w:val="00BA1B66"/>
    <w:rsid w:val="00BC5FCC"/>
    <w:rsid w:val="00BE4213"/>
    <w:rsid w:val="00BE7013"/>
    <w:rsid w:val="00BF6D52"/>
    <w:rsid w:val="00C132EC"/>
    <w:rsid w:val="00C60A71"/>
    <w:rsid w:val="00CA278A"/>
    <w:rsid w:val="00CE5C6C"/>
    <w:rsid w:val="00D05074"/>
    <w:rsid w:val="00D23D6D"/>
    <w:rsid w:val="00D55F3B"/>
    <w:rsid w:val="00D70B1A"/>
    <w:rsid w:val="00D91C7D"/>
    <w:rsid w:val="00D94458"/>
    <w:rsid w:val="00DA2731"/>
    <w:rsid w:val="00DB54DF"/>
    <w:rsid w:val="00DD1207"/>
    <w:rsid w:val="00DD7980"/>
    <w:rsid w:val="00E8730E"/>
    <w:rsid w:val="00EB638A"/>
    <w:rsid w:val="00EE6549"/>
    <w:rsid w:val="00EF12F3"/>
    <w:rsid w:val="00F02477"/>
    <w:rsid w:val="00F13141"/>
    <w:rsid w:val="00F64EB3"/>
    <w:rsid w:val="00F76447"/>
    <w:rsid w:val="00F90F73"/>
    <w:rsid w:val="00F97620"/>
    <w:rsid w:val="00FA02CB"/>
    <w:rsid w:val="00FB4F69"/>
    <w:rsid w:val="00F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7CAB8A8"/>
  <w15:chartTrackingRefBased/>
  <w15:docId w15:val="{D385A3D2-5DE5-453D-9456-E133EAA94A2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pt" w:after="3pt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6pt" w:after="3pt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12pt" w:after="3pt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6pt" w:after="6pt"/>
      <w:ind w:start="-1.50pt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40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5" Type="http://purl.oclc.org/ooxml/officeDocument/relationships/styles" Target="styles.xml"/><Relationship Id="rId4" Type="http://purl.oclc.org/ooxml/officeDocument/relationships/customXml" Target="../customXml/item4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3BE1102B-F33C-48DE-8158-8F6432D821AA}">
  <ds:schemaRefs>
    <ds:schemaRef ds:uri="http://schemas.openxmlformats.org/officeDocument/2006/bibliography"/>
  </ds:schemaRefs>
</ds:datastoreItem>
</file>

<file path=customXml/itemProps2.xml><?xml version="1.0" encoding="utf-8"?>
<ds:datastoreItem xmlns:ds="http://purl.oclc.org/ooxml/officeDocument/customXml" ds:itemID="{1D9CAF90-C736-48A7-B471-B724F77A1E3A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purl.oclc.org/ooxml/officeDocument/customXml" ds:itemID="{B00710B7-8A32-4B22-BA04-55FF9343FD3D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366</Words>
  <Characters>2290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2649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Barbara Lawless</cp:lastModifiedBy>
  <cp:revision>2</cp:revision>
  <cp:lastPrinted>2013-06-13T21:15:00Z</cp:lastPrinted>
  <dcterms:created xsi:type="dcterms:W3CDTF">2026-04-23T06:24:00Z</dcterms:created>
  <dcterms:modified xsi:type="dcterms:W3CDTF">2026-04-23T06:24:00Z</dcterms:modified>
</cp:coreProperties>
</file>