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72382" w14:textId="77777777" w:rsidR="0056788D" w:rsidRDefault="00000000">
      <w:pPr>
        <w:rPr>
          <w:b/>
        </w:rPr>
      </w:pPr>
      <w:r>
        <w:rPr>
          <w:b/>
        </w:rPr>
        <w:t>Paediatric clinical research in India: progress, safeguards and priorities</w:t>
      </w:r>
    </w:p>
    <w:p w14:paraId="631A0B8A" w14:textId="7D5AA81A" w:rsidR="0056788D" w:rsidRDefault="007950A2">
      <w:r>
        <w:t>C. M. Kamaal</w:t>
      </w:r>
      <w:proofErr w:type="gramStart"/>
      <w:r>
        <w:rPr>
          <w:vertAlign w:val="superscript"/>
        </w:rPr>
        <w:t>1,</w:t>
      </w:r>
      <w:r>
        <w:t>,</w:t>
      </w:r>
      <w:proofErr w:type="gramEnd"/>
      <w:r>
        <w:t xml:space="preserve"> Pramod Yadav</w:t>
      </w:r>
      <w:r>
        <w:rPr>
          <w:vertAlign w:val="superscript"/>
        </w:rPr>
        <w:t>2</w:t>
      </w:r>
      <w:r>
        <w:t>, Dept of Pharmacology</w:t>
      </w:r>
      <w:r>
        <w:rPr>
          <w:vertAlign w:val="superscript"/>
        </w:rPr>
        <w:t>1</w:t>
      </w:r>
      <w:r>
        <w:t>, SMMH Govt Medical College, Saharanpur, UP, India; Dept of Paediatrics</w:t>
      </w:r>
      <w:r>
        <w:rPr>
          <w:vertAlign w:val="superscript"/>
        </w:rPr>
        <w:t>2</w:t>
      </w:r>
      <w:r>
        <w:t>, SMMH Govt Medical College, Saharanpur, UP, India</w:t>
      </w:r>
    </w:p>
    <w:p w14:paraId="42BCFD2A" w14:textId="7BAB0EAA" w:rsidR="00F52D91" w:rsidRPr="00F52D91" w:rsidRDefault="00000000">
      <w:pPr>
        <w:jc w:val="both"/>
        <w:rPr>
          <w:b/>
        </w:rPr>
      </w:pPr>
      <w:proofErr w:type="gramStart"/>
      <w:r>
        <w:rPr>
          <w:b/>
        </w:rPr>
        <w:t>Introduction:</w:t>
      </w:r>
      <w:r w:rsidR="00F52D91" w:rsidRPr="00F52D91">
        <w:t>.</w:t>
      </w:r>
      <w:proofErr w:type="gramEnd"/>
      <w:r w:rsidR="00F52D91">
        <w:t xml:space="preserve"> </w:t>
      </w:r>
      <w:r w:rsidR="00F52D91" w:rsidRPr="00F52D91">
        <w:t xml:space="preserve">With one of the world’s largest and most diverse </w:t>
      </w:r>
      <w:proofErr w:type="spellStart"/>
      <w:r w:rsidR="00F52D91" w:rsidRPr="00F52D91">
        <w:t>paediatric</w:t>
      </w:r>
      <w:proofErr w:type="spellEnd"/>
      <w:r w:rsidR="00F52D91" w:rsidRPr="00F52D91">
        <w:t xml:space="preserve"> populations, India offers unparalleled opportunity to generate </w:t>
      </w:r>
      <w:r w:rsidR="00F52D91" w:rsidRPr="00F52D91">
        <w:t>generalizable</w:t>
      </w:r>
      <w:r w:rsidR="00F52D91" w:rsidRPr="00F52D91">
        <w:t xml:space="preserve"> evidence across age bands, regions, and disease patterns—making it especially suitable for </w:t>
      </w:r>
      <w:proofErr w:type="spellStart"/>
      <w:r w:rsidR="00F52D91" w:rsidRPr="00F52D91">
        <w:t>paediatric</w:t>
      </w:r>
      <w:proofErr w:type="spellEnd"/>
      <w:r w:rsidR="00F52D91" w:rsidRPr="00F52D91">
        <w:t xml:space="preserve"> trials. Recent reforms—mandatory prospective trial registration, clearer approval timelines, and stronger ethics oversight for child participants—aim to improve safety, transparency, and study quality. Harnessing this scale responsibly, and pushing for broad national involvement and international collaboration, can accelerate evidence generation and improve </w:t>
      </w:r>
      <w:proofErr w:type="spellStart"/>
      <w:r w:rsidR="00F52D91" w:rsidRPr="00F52D91">
        <w:t>paediatric</w:t>
      </w:r>
      <w:proofErr w:type="spellEnd"/>
      <w:r w:rsidR="00F52D91" w:rsidRPr="00F52D91">
        <w:t xml:space="preserve"> health care in India and worldwide.</w:t>
      </w:r>
    </w:p>
    <w:p w14:paraId="31F2ADFD" w14:textId="77777777" w:rsidR="0056788D" w:rsidRDefault="00000000">
      <w:pPr>
        <w:jc w:val="both"/>
      </w:pPr>
      <w:r>
        <w:rPr>
          <w:b/>
        </w:rPr>
        <w:t xml:space="preserve">Aims: </w:t>
      </w:r>
      <w:r>
        <w:t xml:space="preserve">To (1) </w:t>
      </w:r>
      <w:proofErr w:type="spellStart"/>
      <w:r>
        <w:t>summarise</w:t>
      </w:r>
      <w:proofErr w:type="spellEnd"/>
      <w:r>
        <w:t xml:space="preserve"> current enablers for high-quality paediatric trials in India; (2) identify persistent gaps that affect medication safety and efficacy evidence; and (3) propose practical priorities for 2026–2030.</w:t>
      </w:r>
    </w:p>
    <w:p w14:paraId="46098EAA" w14:textId="77777777" w:rsidR="0056788D" w:rsidRDefault="00000000">
      <w:pPr>
        <w:jc w:val="both"/>
      </w:pPr>
      <w:r>
        <w:rPr>
          <w:b/>
        </w:rPr>
        <w:t xml:space="preserve">Methods: </w:t>
      </w:r>
      <w:r>
        <w:t>Narrative synthesis of Indian regulatory and ethics updates (2018–2025), public market/operations data, and exemplar sponsor/CRO announcements relevant to India’s paediatric trial capacity. Themes were grouped as governance, capability, and opportunity.</w:t>
      </w:r>
    </w:p>
    <w:p w14:paraId="77B2DBBB" w14:textId="1F0A8678" w:rsidR="0056788D" w:rsidRDefault="00000000">
      <w:pPr>
        <w:jc w:val="both"/>
      </w:pPr>
      <w:r>
        <w:rPr>
          <w:b/>
        </w:rPr>
        <w:t xml:space="preserve">Results: </w:t>
      </w:r>
      <w:r>
        <w:t xml:space="preserve">Governance: Since 1 April 2018, prospective registration of all studies in CTRI is enforced, improving transparency and discouraging selective reporting. The New Drugs and Clinical Trials Rules, 2019 clarified review timelines, mandated ethics committee registration, strengthened safety reporting/compensation, and provided guidance on post-trial access, building trust for paediatric participation. Ethics: National guidance details assent/consent processes tailored to age and vulnerability, reinforcing child-specific safeguards. Capability: India’s trials ecosystem has expanded with global sponsors/CROs and hospital networks, supported by accredited labs and digital trial tools; interest in earlier-phase and vaccine studies is rising. Opportunity: A large, diverse paediatric population and growing site capacity position India for multi-centre paediatric pharmacology work. Priority disease areas include </w:t>
      </w:r>
      <w:r>
        <w:lastRenderedPageBreak/>
        <w:t>infectious diseases, respiratory/allergy, oncology, and metabolic disorders.</w:t>
      </w:r>
      <w:r w:rsidR="007950A2">
        <w:t xml:space="preserve"> </w:t>
      </w:r>
      <w:r w:rsidR="007950A2">
        <w:t xml:space="preserve">Limited </w:t>
      </w:r>
      <w:proofErr w:type="spellStart"/>
      <w:r w:rsidR="007950A2">
        <w:t>paediatric</w:t>
      </w:r>
      <w:proofErr w:type="spellEnd"/>
      <w:r w:rsidR="007950A2">
        <w:t>-trained clinical pharmacologists/investigators at scale; variable adoption of assent best-practice; challenges with child-friendly formulations; and data/IT heterogeneity across sites.</w:t>
      </w:r>
    </w:p>
    <w:p w14:paraId="7D08654D" w14:textId="77777777" w:rsidR="0056788D" w:rsidRDefault="00000000">
      <w:pPr>
        <w:jc w:val="both"/>
      </w:pPr>
      <w:r>
        <w:rPr>
          <w:b/>
        </w:rPr>
        <w:t xml:space="preserve">Discussion: </w:t>
      </w:r>
      <w:r>
        <w:t>India now offers a regulated, scalable platform for paediatric medication studies. We propose three priorities: (1) a national paediatric clinical pharmacology training and GCP upskilling programme; (2) a multi-centre paediatric trial network using standardised eCRFs and safety monitoring; and (3) linkage of CTRI registration to outcomes dashboards to accelerate evidence for dosing, efficacy, and safety. These steps can convert policy gains into measurable improvements in paediatric therapeutics and support global collaborations at scale.</w:t>
      </w:r>
    </w:p>
    <w:p w14:paraId="3190D62A" w14:textId="77777777" w:rsidR="007950A2" w:rsidRPr="007950A2" w:rsidRDefault="007950A2" w:rsidP="007950A2">
      <w:pPr>
        <w:jc w:val="both"/>
      </w:pPr>
      <w:r w:rsidRPr="007950A2">
        <w:rPr>
          <w:b/>
          <w:bCs/>
        </w:rPr>
        <w:t>References</w:t>
      </w:r>
    </w:p>
    <w:p w14:paraId="1C74D876" w14:textId="7A655F7D" w:rsidR="007950A2" w:rsidRPr="007950A2" w:rsidRDefault="007950A2" w:rsidP="007950A2">
      <w:pPr>
        <w:pStyle w:val="NoSpacing"/>
        <w:numPr>
          <w:ilvl w:val="0"/>
          <w:numId w:val="11"/>
        </w:numPr>
        <w:rPr>
          <w:rFonts w:ascii="Calibri" w:eastAsia="Calibri" w:hAnsi="Calibri"/>
          <w:sz w:val="18"/>
          <w:szCs w:val="20"/>
        </w:rPr>
      </w:pPr>
      <w:r w:rsidRPr="007950A2">
        <w:rPr>
          <w:rFonts w:ascii="Calibri" w:eastAsia="Calibri" w:hAnsi="Calibri"/>
          <w:sz w:val="18"/>
          <w:szCs w:val="20"/>
        </w:rPr>
        <w:t>Indian Council of Medical Research. National Ethical Guidelines for Biomedical Research Involving Children. New Delhi: ICMR; 2017.</w:t>
      </w:r>
    </w:p>
    <w:p w14:paraId="49A0DA1E" w14:textId="6010A44C" w:rsidR="007950A2" w:rsidRPr="007950A2" w:rsidRDefault="007950A2" w:rsidP="007950A2">
      <w:pPr>
        <w:pStyle w:val="NoSpacing"/>
        <w:numPr>
          <w:ilvl w:val="0"/>
          <w:numId w:val="11"/>
        </w:numPr>
        <w:rPr>
          <w:rFonts w:ascii="Calibri" w:eastAsia="Calibri" w:hAnsi="Calibri"/>
          <w:sz w:val="18"/>
          <w:szCs w:val="20"/>
        </w:rPr>
      </w:pPr>
      <w:r w:rsidRPr="007950A2">
        <w:rPr>
          <w:rFonts w:ascii="Calibri" w:eastAsia="Calibri" w:hAnsi="Calibri"/>
          <w:sz w:val="18"/>
          <w:szCs w:val="20"/>
        </w:rPr>
        <w:t xml:space="preserve">Central Drugs Standard Control </w:t>
      </w:r>
      <w:proofErr w:type="spellStart"/>
      <w:r w:rsidRPr="007950A2">
        <w:rPr>
          <w:rFonts w:ascii="Calibri" w:eastAsia="Calibri" w:hAnsi="Calibri"/>
          <w:sz w:val="18"/>
          <w:szCs w:val="20"/>
        </w:rPr>
        <w:t>Organisation</w:t>
      </w:r>
      <w:proofErr w:type="spellEnd"/>
      <w:r w:rsidRPr="007950A2">
        <w:rPr>
          <w:rFonts w:ascii="Calibri" w:eastAsia="Calibri" w:hAnsi="Calibri"/>
          <w:sz w:val="18"/>
          <w:szCs w:val="20"/>
        </w:rPr>
        <w:t>. New Drugs and Clinical Trials Rules, 2019. New Delhi: CDSCO; 2019.</w:t>
      </w:r>
    </w:p>
    <w:p w14:paraId="3ADC9407" w14:textId="228FF26E" w:rsidR="007950A2" w:rsidRPr="007950A2" w:rsidRDefault="007950A2" w:rsidP="007950A2">
      <w:pPr>
        <w:pStyle w:val="NoSpacing"/>
        <w:numPr>
          <w:ilvl w:val="0"/>
          <w:numId w:val="11"/>
        </w:numPr>
        <w:rPr>
          <w:rFonts w:ascii="Calibri" w:eastAsia="Calibri" w:hAnsi="Calibri"/>
          <w:sz w:val="18"/>
          <w:szCs w:val="20"/>
        </w:rPr>
      </w:pPr>
      <w:r w:rsidRPr="007950A2">
        <w:rPr>
          <w:rFonts w:ascii="Calibri" w:eastAsia="Calibri" w:hAnsi="Calibri"/>
          <w:sz w:val="18"/>
          <w:szCs w:val="20"/>
        </w:rPr>
        <w:t>Clinical Trials Registry–India. CTRI News Bulletin (July–December 2017): Announcement of prospective registration from 1 April 2018. New Delhi: ICMR-NIMS; 2017.</w:t>
      </w:r>
    </w:p>
    <w:p w14:paraId="12480DD7" w14:textId="77777777" w:rsidR="00F52D91" w:rsidRDefault="00F52D91">
      <w:pPr>
        <w:jc w:val="both"/>
      </w:pPr>
    </w:p>
    <w:sectPr w:rsidR="00F52D91" w:rsidSect="00034616">
      <w:pgSz w:w="8391" w:h="11906"/>
      <w:pgMar w:top="907" w:right="907" w:bottom="907"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7E701BC"/>
    <w:multiLevelType w:val="hybridMultilevel"/>
    <w:tmpl w:val="71622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8803C9"/>
    <w:multiLevelType w:val="multilevel"/>
    <w:tmpl w:val="B77A4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3242776">
    <w:abstractNumId w:val="8"/>
  </w:num>
  <w:num w:numId="2" w16cid:durableId="1286084189">
    <w:abstractNumId w:val="6"/>
  </w:num>
  <w:num w:numId="3" w16cid:durableId="1085110100">
    <w:abstractNumId w:val="5"/>
  </w:num>
  <w:num w:numId="4" w16cid:durableId="1066490594">
    <w:abstractNumId w:val="4"/>
  </w:num>
  <w:num w:numId="5" w16cid:durableId="1261722799">
    <w:abstractNumId w:val="7"/>
  </w:num>
  <w:num w:numId="6" w16cid:durableId="1372728155">
    <w:abstractNumId w:val="3"/>
  </w:num>
  <w:num w:numId="7" w16cid:durableId="189034044">
    <w:abstractNumId w:val="2"/>
  </w:num>
  <w:num w:numId="8" w16cid:durableId="997877149">
    <w:abstractNumId w:val="1"/>
  </w:num>
  <w:num w:numId="9" w16cid:durableId="2107916742">
    <w:abstractNumId w:val="0"/>
  </w:num>
  <w:num w:numId="10" w16cid:durableId="1078600260">
    <w:abstractNumId w:val="10"/>
  </w:num>
  <w:num w:numId="11" w16cid:durableId="17570972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231A"/>
    <w:rsid w:val="0029639D"/>
    <w:rsid w:val="00326F90"/>
    <w:rsid w:val="0056788D"/>
    <w:rsid w:val="007950A2"/>
    <w:rsid w:val="00AA1D8D"/>
    <w:rsid w:val="00B47730"/>
    <w:rsid w:val="00CB0664"/>
    <w:rsid w:val="00D311B3"/>
    <w:rsid w:val="00F52D9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3722FC"/>
  <w14:defaultImageDpi w14:val="300"/>
  <w15:docId w15:val="{502E5BE8-AA3C-422F-B097-F9AA6BFE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950A2"/>
    <w:rPr>
      <w:color w:val="0000FF" w:themeColor="hyperlink"/>
      <w:u w:val="single"/>
    </w:rPr>
  </w:style>
  <w:style w:type="character" w:styleId="UnresolvedMention">
    <w:name w:val="Unresolved Mention"/>
    <w:basedOn w:val="DefaultParagraphFont"/>
    <w:uiPriority w:val="99"/>
    <w:semiHidden/>
    <w:unhideWhenUsed/>
    <w:rsid w:val="00795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Dr C M Kamaal</cp:lastModifiedBy>
  <cp:revision>2</cp:revision>
  <dcterms:created xsi:type="dcterms:W3CDTF">2025-09-15T10:24:00Z</dcterms:created>
  <dcterms:modified xsi:type="dcterms:W3CDTF">2025-09-15T10:24:00Z</dcterms:modified>
  <cp:category/>
</cp:coreProperties>
</file>