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000" w:rsidRDefault="00000000">
      <w:pPr>
        <w:jc w:val="both"/>
        <w:rPr>
          <w:rFonts w:ascii="Calibri" w:hAnsi="Calibri" w:cs="Calibri"/>
          <w:b/>
          <w:sz w:val="20"/>
          <w:szCs w:val="20"/>
          <w:lang w:val="en-AU"/>
        </w:rPr>
      </w:pPr>
      <w:r>
        <w:rPr>
          <w:rFonts w:ascii="Calibri" w:eastAsia="SimSun" w:hAnsi="Calibri" w:cs="Calibri" w:hint="eastAsia"/>
          <w:b/>
          <w:sz w:val="20"/>
          <w:szCs w:val="20"/>
          <w:lang w:eastAsia="zh-CN"/>
        </w:rPr>
        <w:t>Design and applications of GPCR exoframe modulators</w:t>
      </w:r>
    </w:p>
    <w:p w:rsidR="00000000" w:rsidRDefault="00000000">
      <w:pPr>
        <w:jc w:val="both"/>
        <w:rPr>
          <w:rFonts w:ascii="Calibri" w:hAnsi="Calibri" w:cs="Calibri"/>
          <w:sz w:val="20"/>
          <w:szCs w:val="20"/>
          <w:lang w:val="en-AU"/>
        </w:rPr>
      </w:pPr>
      <w:r>
        <w:rPr>
          <w:rFonts w:ascii="Calibri" w:eastAsia="SimSun" w:hAnsi="Calibri" w:cs="Calibri" w:hint="eastAsia"/>
          <w:sz w:val="20"/>
          <w:szCs w:val="20"/>
          <w:lang w:eastAsia="zh-CN"/>
        </w:rPr>
        <w:t>Yan Zhang</w:t>
      </w:r>
      <w:r>
        <w:rPr>
          <w:rFonts w:ascii="Calibri" w:hAnsi="Calibri" w:cs="Calibri"/>
          <w:sz w:val="20"/>
          <w:szCs w:val="20"/>
          <w:lang w:val="en-AU"/>
        </w:rPr>
        <w:t xml:space="preserve">. Department </w:t>
      </w:r>
      <w:r>
        <w:rPr>
          <w:rFonts w:ascii="Calibri" w:eastAsia="SimSun" w:hAnsi="Calibri" w:cs="Calibri" w:hint="eastAsia"/>
          <w:sz w:val="20"/>
          <w:szCs w:val="20"/>
          <w:lang w:eastAsia="zh-CN"/>
        </w:rPr>
        <w:t>of Pharmacology</w:t>
      </w:r>
      <w:r>
        <w:rPr>
          <w:rFonts w:ascii="Calibri" w:hAnsi="Calibri" w:cs="Calibri"/>
          <w:sz w:val="20"/>
          <w:szCs w:val="20"/>
          <w:lang w:val="en-AU"/>
        </w:rPr>
        <w:t xml:space="preserve">, </w:t>
      </w:r>
      <w:r>
        <w:rPr>
          <w:rFonts w:ascii="Calibri" w:eastAsia="SimSun" w:hAnsi="Calibri" w:cs="Calibri" w:hint="eastAsia"/>
          <w:sz w:val="20"/>
          <w:szCs w:val="20"/>
          <w:lang w:eastAsia="zh-CN"/>
        </w:rPr>
        <w:t>Zhejiang University School of Medicine</w:t>
      </w:r>
      <w:r>
        <w:rPr>
          <w:rFonts w:ascii="Calibri" w:hAnsi="Calibri" w:cs="Calibri"/>
          <w:sz w:val="20"/>
          <w:szCs w:val="20"/>
          <w:lang w:val="en-AU"/>
        </w:rPr>
        <w:t xml:space="preserve">, </w:t>
      </w:r>
      <w:r>
        <w:rPr>
          <w:rFonts w:ascii="Calibri" w:eastAsia="SimSun" w:hAnsi="Calibri" w:cs="Calibri" w:hint="eastAsia"/>
          <w:sz w:val="20"/>
          <w:szCs w:val="20"/>
          <w:lang w:eastAsia="zh-CN"/>
        </w:rPr>
        <w:t>Hangzhou</w:t>
      </w:r>
      <w:r>
        <w:rPr>
          <w:rFonts w:ascii="Calibri" w:hAnsi="Calibri" w:cs="Calibri"/>
          <w:sz w:val="20"/>
          <w:szCs w:val="20"/>
          <w:lang w:val="en-AU"/>
        </w:rPr>
        <w:t xml:space="preserve">, </w:t>
      </w:r>
      <w:r>
        <w:rPr>
          <w:rFonts w:ascii="Calibri" w:eastAsia="SimSun" w:hAnsi="Calibri" w:cs="Calibri" w:hint="eastAsia"/>
          <w:sz w:val="20"/>
          <w:szCs w:val="20"/>
          <w:lang w:eastAsia="zh-CN"/>
        </w:rPr>
        <w:t>China.</w:t>
      </w:r>
      <w:r>
        <w:rPr>
          <w:rFonts w:ascii="Calibri" w:hAnsi="Calibri" w:cs="Calibri"/>
          <w:sz w:val="20"/>
          <w:szCs w:val="20"/>
          <w:lang w:val="en-AU"/>
        </w:rPr>
        <w:t xml:space="preserve">  </w:t>
      </w:r>
    </w:p>
    <w:p w:rsidR="00000000" w:rsidRDefault="00C95027">
      <w:pPr>
        <w:pStyle w:val="Default"/>
        <w:jc w:val="both"/>
        <w:rPr>
          <w:color w:val="auto"/>
          <w:sz w:val="20"/>
          <w:szCs w:val="20"/>
          <w:lang w:val="en-AU"/>
        </w:rPr>
      </w:pPr>
      <w:r>
        <w:rPr>
          <w:noProof/>
        </w:rPr>
        <w:drawing>
          <wp:anchor distT="5715" distB="34290" distL="162560" distR="114935" simplePos="0" relativeHeight="251657728" behindDoc="0" locked="0" layoutInCell="1" allowOverlap="1">
            <wp:simplePos x="0" y="0"/>
            <wp:positionH relativeFrom="column">
              <wp:posOffset>3671570</wp:posOffset>
            </wp:positionH>
            <wp:positionV relativeFrom="paragraph">
              <wp:posOffset>150495</wp:posOffset>
            </wp:positionV>
            <wp:extent cx="2374265" cy="1675130"/>
            <wp:effectExtent l="0" t="0" r="635" b="1270"/>
            <wp:wrapSquare wrapText="bothSides"/>
            <wp:docPr id="2" name="O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O 3"/>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2374265" cy="16751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i/>
          <w:color w:val="auto"/>
          <w:sz w:val="20"/>
          <w:szCs w:val="20"/>
        </w:rPr>
        <w:t xml:space="preserve"> </w:t>
      </w:r>
    </w:p>
    <w:p w:rsidR="00000000" w:rsidRDefault="00000000">
      <w:pPr>
        <w:jc w:val="both"/>
        <w:rPr>
          <w:rFonts w:ascii="Calibri" w:eastAsia="SimSun" w:hAnsi="Calibri" w:cs="Calibri" w:hint="eastAsia"/>
          <w:sz w:val="20"/>
          <w:szCs w:val="20"/>
          <w:lang w:eastAsia="zh-CN"/>
        </w:rPr>
      </w:pPr>
      <w:r>
        <w:rPr>
          <w:rFonts w:ascii="Calibri" w:hAnsi="Calibri" w:cs="Calibri"/>
          <w:b/>
          <w:bCs/>
          <w:sz w:val="20"/>
          <w:szCs w:val="20"/>
          <w:lang w:val="en-AU"/>
        </w:rPr>
        <w:t>Introduction.</w:t>
      </w:r>
      <w:r>
        <w:rPr>
          <w:rFonts w:ascii="Calibri" w:hAnsi="Calibri" w:cs="Calibri"/>
          <w:sz w:val="20"/>
          <w:szCs w:val="20"/>
          <w:lang w:val="en-AU"/>
        </w:rPr>
        <w:t xml:space="preserve"> </w:t>
      </w:r>
      <w:r>
        <w:rPr>
          <w:rFonts w:ascii="Arial" w:hAnsi="Arial" w:cs="Arial"/>
          <w:bCs/>
          <w:sz w:val="20"/>
          <w:szCs w:val="20"/>
          <w:lang w:eastAsia="zh-CN"/>
        </w:rPr>
        <w:t>G protein-coupled receptors (GPCRs) are pivotal therapeutic targets, traditionally targeted through orthosteric binding. However, allosteric modulation emerges as a promising and innovative strategy in the realm of GPCR drug discovery</w:t>
      </w:r>
      <w:r>
        <w:rPr>
          <w:rFonts w:ascii="Calibri" w:hAnsi="Calibri" w:cs="Calibri"/>
          <w:sz w:val="20"/>
          <w:szCs w:val="20"/>
          <w:lang w:val="en-AU"/>
        </w:rPr>
        <w:t>.</w:t>
      </w:r>
      <w:r>
        <w:rPr>
          <w:rFonts w:ascii="Calibri" w:eastAsia="SimSun" w:hAnsi="Calibri" w:cs="Calibri" w:hint="eastAsia"/>
          <w:sz w:val="20"/>
          <w:szCs w:val="20"/>
          <w:lang w:eastAsia="zh-CN"/>
        </w:rPr>
        <w:t xml:space="preserve"> </w:t>
      </w:r>
      <w:r>
        <w:rPr>
          <w:rFonts w:ascii="Arial" w:hAnsi="Arial" w:cs="Arial"/>
          <w:bCs/>
          <w:sz w:val="20"/>
          <w:szCs w:val="20"/>
          <w:lang w:eastAsia="zh-CN"/>
        </w:rPr>
        <w:t>Drawing inspiration from the natural regulation of GPCRs by transmembrane proteins, we have developed GPCR Exoframe Modulators (GEMs), de novo designed proteins that specifically target the transmembrane domain of GPCRs.</w:t>
      </w:r>
    </w:p>
    <w:p w:rsidR="00000000" w:rsidRDefault="00000000">
      <w:pPr>
        <w:jc w:val="both"/>
        <w:rPr>
          <w:rFonts w:ascii="Calibri" w:hAnsi="Calibri" w:cs="Calibri"/>
          <w:sz w:val="20"/>
          <w:szCs w:val="20"/>
          <w:lang w:val="en-AU"/>
        </w:rPr>
      </w:pPr>
      <w:r>
        <w:rPr>
          <w:rFonts w:ascii="Calibri" w:hAnsi="Calibri" w:cs="Calibri"/>
          <w:b/>
          <w:bCs/>
          <w:sz w:val="20"/>
          <w:szCs w:val="20"/>
          <w:lang w:val="en-AU"/>
        </w:rPr>
        <w:t>Aims</w:t>
      </w:r>
      <w:r>
        <w:rPr>
          <w:rFonts w:ascii="Calibri" w:hAnsi="Calibri" w:cs="Calibri"/>
          <w:sz w:val="20"/>
          <w:szCs w:val="20"/>
          <w:lang w:val="en-AU"/>
        </w:rPr>
        <w:t xml:space="preserve">. </w:t>
      </w:r>
      <w:r>
        <w:rPr>
          <w:rFonts w:ascii="Calibri" w:eastAsia="SimSun" w:hAnsi="Calibri" w:cs="Calibri" w:hint="eastAsia"/>
          <w:sz w:val="20"/>
          <w:szCs w:val="20"/>
          <w:lang w:eastAsia="zh-CN"/>
        </w:rPr>
        <w:t>Designing novel transmembrane protein modulators to regulate signaling and to rescue the function of the mutants</w:t>
      </w:r>
      <w:r>
        <w:rPr>
          <w:rFonts w:ascii="Calibri" w:hAnsi="Calibri" w:cs="Calibri"/>
          <w:sz w:val="20"/>
          <w:szCs w:val="20"/>
          <w:lang w:val="en-AU"/>
        </w:rPr>
        <w:t>.</w:t>
      </w:r>
    </w:p>
    <w:p w:rsidR="00000000" w:rsidRDefault="00000000">
      <w:pPr>
        <w:jc w:val="both"/>
        <w:rPr>
          <w:rFonts w:ascii="Calibri" w:hAnsi="Calibri" w:cs="Calibri"/>
          <w:sz w:val="20"/>
          <w:szCs w:val="20"/>
          <w:lang w:val="en-AU"/>
        </w:rPr>
      </w:pPr>
      <w:r>
        <w:rPr>
          <w:rFonts w:ascii="Calibri" w:hAnsi="Calibri" w:cs="Calibri"/>
          <w:b/>
          <w:bCs/>
          <w:sz w:val="20"/>
          <w:szCs w:val="20"/>
          <w:lang w:val="en-AU"/>
        </w:rPr>
        <w:t>Methods</w:t>
      </w:r>
      <w:r>
        <w:rPr>
          <w:rFonts w:ascii="Calibri" w:hAnsi="Calibri" w:cs="Calibri"/>
          <w:sz w:val="20"/>
          <w:szCs w:val="20"/>
          <w:lang w:val="en-AU"/>
        </w:rPr>
        <w:t xml:space="preserve">. </w:t>
      </w:r>
      <w:r>
        <w:rPr>
          <w:rFonts w:ascii="Arial" w:hAnsi="Arial" w:cs="Arial"/>
          <w:bCs/>
          <w:sz w:val="20"/>
          <w:szCs w:val="20"/>
          <w:lang w:eastAsia="zh-CN"/>
        </w:rPr>
        <w:t xml:space="preserve">hallucination-like </w:t>
      </w:r>
      <w:r>
        <w:rPr>
          <w:rFonts w:ascii="Arial" w:hAnsi="Arial" w:cs="Arial" w:hint="eastAsia"/>
          <w:bCs/>
          <w:sz w:val="20"/>
          <w:szCs w:val="20"/>
          <w:lang w:eastAsia="zh-CN"/>
        </w:rPr>
        <w:t xml:space="preserve">protein </w:t>
      </w:r>
      <w:r>
        <w:rPr>
          <w:rFonts w:ascii="Arial" w:hAnsi="Arial" w:cs="Arial"/>
          <w:bCs/>
          <w:sz w:val="20"/>
          <w:szCs w:val="20"/>
          <w:lang w:eastAsia="zh-CN"/>
        </w:rPr>
        <w:t>design</w:t>
      </w:r>
      <w:r>
        <w:rPr>
          <w:rFonts w:ascii="Arial" w:hAnsi="Arial" w:cs="Arial" w:hint="eastAsia"/>
          <w:bCs/>
          <w:sz w:val="20"/>
          <w:szCs w:val="20"/>
          <w:lang w:eastAsia="zh-CN"/>
        </w:rPr>
        <w:t>, GPCR pharmocolgy, cryo-EM</w:t>
      </w:r>
      <w:r>
        <w:rPr>
          <w:rFonts w:ascii="Calibri" w:hAnsi="Calibri" w:cs="Calibri"/>
          <w:sz w:val="20"/>
          <w:szCs w:val="20"/>
          <w:lang w:val="en-AU"/>
        </w:rPr>
        <w:t>.</w:t>
      </w:r>
    </w:p>
    <w:p w:rsidR="00000000" w:rsidRDefault="00000000">
      <w:pPr>
        <w:jc w:val="both"/>
        <w:rPr>
          <w:rFonts w:ascii="Calibri" w:hAnsi="Calibri" w:cs="Calibri"/>
          <w:sz w:val="20"/>
          <w:szCs w:val="20"/>
          <w:lang w:val="en-AU"/>
        </w:rPr>
      </w:pPr>
      <w:r>
        <w:rPr>
          <w:rFonts w:ascii="Calibri" w:hAnsi="Calibri" w:cs="Calibri"/>
          <w:b/>
          <w:bCs/>
          <w:sz w:val="20"/>
          <w:szCs w:val="20"/>
          <w:lang w:val="en-AU"/>
        </w:rPr>
        <w:t>Results.</w:t>
      </w:r>
      <w:r>
        <w:rPr>
          <w:rFonts w:ascii="Calibri" w:hAnsi="Calibri" w:cs="Calibri"/>
          <w:sz w:val="20"/>
          <w:szCs w:val="20"/>
          <w:lang w:val="en-AU"/>
        </w:rPr>
        <w:t xml:space="preserve"> </w:t>
      </w:r>
      <w:r>
        <w:rPr>
          <w:rFonts w:ascii="Arial" w:hAnsi="Arial" w:cs="Arial"/>
          <w:bCs/>
          <w:sz w:val="20"/>
          <w:szCs w:val="20"/>
          <w:lang w:eastAsia="zh-CN"/>
        </w:rPr>
        <w:t>Utilizing a cutting-edge hallucination-like design approach, we crafted GEMs with three strategic structural prompts to achieve the desired binding modes and functional outcomes. Structural studies and functional assay revealed that these GEMs bind to the transmembrane domain and elicit a spectrum of functional responses, including agonism, antagonism, and biased signaling. Most significantly, the agonistic GEM restores the activity of various loss-of-function mutants, heralding a novel and promising therapeutic avenue for GPCR-related disorders</w:t>
      </w:r>
      <w:r>
        <w:rPr>
          <w:rFonts w:ascii="Calibri" w:hAnsi="Calibri" w:cs="Calibri"/>
          <w:sz w:val="20"/>
          <w:szCs w:val="20"/>
          <w:lang w:val="en-AU"/>
        </w:rPr>
        <w:t>.</w:t>
      </w:r>
    </w:p>
    <w:p w:rsidR="00000000" w:rsidRDefault="00000000">
      <w:pPr>
        <w:jc w:val="both"/>
        <w:rPr>
          <w:rFonts w:ascii="Calibri" w:hAnsi="Calibri" w:cs="Calibri"/>
          <w:sz w:val="20"/>
          <w:szCs w:val="20"/>
          <w:lang w:val="en-AU"/>
        </w:rPr>
      </w:pPr>
      <w:r>
        <w:rPr>
          <w:rFonts w:ascii="Calibri" w:hAnsi="Calibri" w:cs="Calibri"/>
          <w:b/>
          <w:bCs/>
          <w:sz w:val="20"/>
          <w:szCs w:val="20"/>
          <w:lang w:val="en-AU"/>
        </w:rPr>
        <w:t>Discussion.</w:t>
      </w:r>
      <w:r>
        <w:rPr>
          <w:rFonts w:ascii="Calibri" w:hAnsi="Calibri" w:cs="Calibri"/>
          <w:sz w:val="20"/>
          <w:szCs w:val="20"/>
          <w:lang w:val="en-AU"/>
        </w:rPr>
        <w:t xml:space="preserve"> </w:t>
      </w:r>
      <w:r>
        <w:rPr>
          <w:rFonts w:ascii="Arial" w:hAnsi="Arial" w:cs="Arial"/>
          <w:bCs/>
          <w:sz w:val="20"/>
          <w:szCs w:val="20"/>
          <w:lang w:eastAsia="zh-CN"/>
        </w:rPr>
        <w:t>Our work introduces TM-targeting GEMs as potent agents for allosteric GPCR modulation and highlights the potential of deep learning-based approaches in the design of function-oriented membrane protein. The GEMs may advance GPCR therapeutic development by providing conformationally-stabilized receptors that are crucial for structure-based drug design and deorphanizing ligand-less GPCRs</w:t>
      </w:r>
      <w:r>
        <w:rPr>
          <w:rFonts w:ascii="Calibri" w:hAnsi="Calibri" w:cs="Calibri"/>
          <w:sz w:val="20"/>
          <w:szCs w:val="20"/>
          <w:lang w:val="en-AU"/>
        </w:rPr>
        <w:t>.</w:t>
      </w:r>
    </w:p>
    <w:p w:rsidR="00C64BAD" w:rsidRDefault="00C64BAD">
      <w:pPr>
        <w:jc w:val="both"/>
        <w:rPr>
          <w:rFonts w:ascii="Calibri" w:hAnsi="Calibri" w:cs="Calibri"/>
          <w:sz w:val="20"/>
          <w:szCs w:val="20"/>
          <w:lang w:val="en-AU"/>
        </w:rPr>
      </w:pPr>
    </w:p>
    <w:sectPr w:rsidR="00C64BAD">
      <w:pgSz w:w="11906" w:h="8391" w:orient="landscape"/>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A4FA6"/>
    <w:rsid w:val="002272B0"/>
    <w:rsid w:val="00300B92"/>
    <w:rsid w:val="003238D9"/>
    <w:rsid w:val="00387491"/>
    <w:rsid w:val="00444224"/>
    <w:rsid w:val="00483B05"/>
    <w:rsid w:val="004E28B9"/>
    <w:rsid w:val="004E50FC"/>
    <w:rsid w:val="004E5450"/>
    <w:rsid w:val="0059609A"/>
    <w:rsid w:val="00597659"/>
    <w:rsid w:val="005D1700"/>
    <w:rsid w:val="005E48A2"/>
    <w:rsid w:val="005E62BE"/>
    <w:rsid w:val="00711813"/>
    <w:rsid w:val="00724E3C"/>
    <w:rsid w:val="00743C46"/>
    <w:rsid w:val="00760B17"/>
    <w:rsid w:val="00885303"/>
    <w:rsid w:val="008909C9"/>
    <w:rsid w:val="00947B77"/>
    <w:rsid w:val="009E2228"/>
    <w:rsid w:val="009F06D6"/>
    <w:rsid w:val="00A266B4"/>
    <w:rsid w:val="00A71DEF"/>
    <w:rsid w:val="00AE2DA6"/>
    <w:rsid w:val="00BC5FCC"/>
    <w:rsid w:val="00C132EC"/>
    <w:rsid w:val="00C60A71"/>
    <w:rsid w:val="00C64BAD"/>
    <w:rsid w:val="00C95027"/>
    <w:rsid w:val="00D55F3B"/>
    <w:rsid w:val="00DA2731"/>
    <w:rsid w:val="00EB5701"/>
    <w:rsid w:val="00EF12F3"/>
    <w:rsid w:val="00F02477"/>
    <w:rsid w:val="00F90F73"/>
    <w:rsid w:val="00F97620"/>
    <w:rsid w:val="69E68A2F"/>
    <w:rsid w:val="FE5EF8C6"/>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A42D17-1179-5848-A176-19412C7DF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N"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pPr>
      <w:spacing w:before="240" w:after="60"/>
      <w:outlineLvl w:val="4"/>
    </w:pPr>
    <w:rPr>
      <w:rFonts w:ascii="Calibri" w:eastAsia="PMingLiU" w:hAnsi="Calibri"/>
      <w:b/>
      <w:bCs/>
      <w:i/>
      <w:iCs/>
      <w:sz w:val="26"/>
      <w:szCs w:val="26"/>
    </w:rPr>
  </w:style>
  <w:style w:type="character" w:default="1" w:styleId="DefaultParagraphFont">
    <w:name w:val="Default Paragraph Font"/>
    <w:semiHidden/>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Pr>
      <w:rFonts w:ascii="Calibri" w:eastAsia="PMingLiU" w:hAnsi="Calibri" w:cs="Times New Roman"/>
      <w:b/>
      <w:bCs/>
      <w:i/>
      <w:iCs/>
      <w:sz w:val="26"/>
      <w:szCs w:val="26"/>
      <w:lang w:eastAsia="en-US"/>
    </w:rPr>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US" w:eastAsia="en-US"/>
    </w:rPr>
  </w:style>
  <w:style w:type="paragraph" w:styleId="BodyTextIndent3">
    <w:name w:val="Body Text Indent 3"/>
    <w:basedOn w:val="Normal"/>
    <w:semiHidden/>
    <w:pPr>
      <w:spacing w:before="120" w:after="120"/>
      <w:ind w:left="-90"/>
      <w:jc w:val="center"/>
    </w:pPr>
    <w:rPr>
      <w:rFonts w:ascii="Times" w:hAnsi="Times"/>
      <w:szCs w:val="20"/>
    </w:rPr>
  </w:style>
  <w:style w:type="character" w:styleId="Hyperlink">
    <w:name w:val="Hyperlink"/>
    <w:uiPriority w:val="99"/>
    <w:unhideWhenUsed/>
    <w:rPr>
      <w:color w:val="0563C1"/>
      <w:u w:val="single"/>
    </w:rPr>
  </w:style>
  <w:style w:type="character" w:styleId="Strong">
    <w:name w:val="Strong"/>
    <w:uiPriority w:val="22"/>
    <w:qFormat/>
    <w:rPr>
      <w:b/>
      <w:bCs/>
    </w:rPr>
  </w:style>
  <w:style w:type="paragraph" w:customStyle="1" w:styleId="Default">
    <w:name w:val="Default"/>
    <w:pPr>
      <w:widowControl w:val="0"/>
      <w:autoSpaceDE w:val="0"/>
      <w:autoSpaceDN w:val="0"/>
      <w:adjustRightInd w:val="0"/>
    </w:pPr>
    <w:rPr>
      <w:rFonts w:ascii="Calibri" w:eastAsia="Calibri" w:hAnsi="Calibri" w:cs="Calibri"/>
      <w:color w:val="000000"/>
      <w:sz w:val="24"/>
      <w:szCs w:val="24"/>
      <w:lang w:val="en-US" w:eastAsia="en-US"/>
    </w:rPr>
  </w:style>
  <w:style w:type="character" w:styleId="UnresolvedMention">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1514</Characters>
  <Application>Microsoft Office Word</Application>
  <DocSecurity>0</DocSecurity>
  <Lines>12</Lines>
  <Paragraphs>3</Paragraphs>
  <ScaleCrop>false</ScaleCrop>
  <Company>clems</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Yan Zhang</cp:lastModifiedBy>
  <cp:revision>3</cp:revision>
  <cp:lastPrinted>2013-06-13T05:15:00Z</cp:lastPrinted>
  <dcterms:created xsi:type="dcterms:W3CDTF">2026-02-25T05:04:00Z</dcterms:created>
  <dcterms:modified xsi:type="dcterms:W3CDTF">2026-02-25T05:04:00Z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KSOProductBuildVer">
    <vt:lpwstr>1033-12.1.23540.23540</vt:lpwstr>
  </property>
  <property fmtid="{D5CDD505-2E9C-101B-9397-08002B2CF9AE}" pid="5" name="ICV">
    <vt:lpwstr>C8E482CD420FD8B4E0809E69AAC5A9D4_43</vt:lpwstr>
  </property>
</Properties>
</file>