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7039" w14:textId="0F8443D3" w:rsidR="00C315D2" w:rsidRPr="00D94188" w:rsidRDefault="00C54C74" w:rsidP="00D94188">
      <w:pPr>
        <w:spacing w:after="0" w:line="240" w:lineRule="auto"/>
        <w:rPr>
          <w:rFonts w:ascii="Arial" w:eastAsia="Calibri" w:hAnsi="Arial" w:cs="Calibri"/>
          <w:b/>
          <w:i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iCs/>
          <w:kern w:val="0"/>
          <w14:ligatures w14:val="none"/>
        </w:rPr>
        <w:t>A novel approach to combat multidrug</w:t>
      </w:r>
      <w:r w:rsidR="00CB207B">
        <w:rPr>
          <w:rFonts w:ascii="Arial" w:eastAsia="Calibri" w:hAnsi="Arial" w:cs="Calibri"/>
          <w:b/>
          <w:iCs/>
          <w:kern w:val="0"/>
          <w14:ligatures w14:val="none"/>
        </w:rPr>
        <w:t>-</w:t>
      </w:r>
      <w:r>
        <w:rPr>
          <w:rFonts w:ascii="Arial" w:eastAsia="Calibri" w:hAnsi="Arial" w:cs="Calibri"/>
          <w:b/>
          <w:iCs/>
          <w:kern w:val="0"/>
          <w14:ligatures w14:val="none"/>
        </w:rPr>
        <w:t xml:space="preserve">resistant </w:t>
      </w:r>
      <w:r w:rsidR="00CB207B">
        <w:rPr>
          <w:rFonts w:ascii="Arial" w:eastAsia="Calibri" w:hAnsi="Arial" w:cs="Calibri"/>
          <w:b/>
          <w:iCs/>
          <w:kern w:val="0"/>
          <w14:ligatures w14:val="none"/>
        </w:rPr>
        <w:t xml:space="preserve">(MDR) </w:t>
      </w:r>
      <w:r>
        <w:rPr>
          <w:rFonts w:ascii="Arial" w:eastAsia="Calibri" w:hAnsi="Arial" w:cs="Calibri"/>
          <w:b/>
          <w:iCs/>
          <w:kern w:val="0"/>
          <w14:ligatures w14:val="none"/>
        </w:rPr>
        <w:t xml:space="preserve">gram-negative </w:t>
      </w:r>
      <w:r w:rsidR="005875E2">
        <w:rPr>
          <w:rFonts w:ascii="Arial" w:eastAsia="Calibri" w:hAnsi="Arial" w:cs="Calibri"/>
          <w:b/>
          <w:iCs/>
          <w:kern w:val="0"/>
          <w14:ligatures w14:val="none"/>
        </w:rPr>
        <w:t xml:space="preserve">bacterial </w:t>
      </w:r>
      <w:r>
        <w:rPr>
          <w:rFonts w:ascii="Arial" w:eastAsia="Calibri" w:hAnsi="Arial" w:cs="Calibri"/>
          <w:b/>
          <w:iCs/>
          <w:kern w:val="0"/>
          <w14:ligatures w14:val="none"/>
        </w:rPr>
        <w:t>infections</w:t>
      </w:r>
      <w:r w:rsidR="00CB207B">
        <w:rPr>
          <w:rFonts w:ascii="Arial" w:eastAsia="Calibri" w:hAnsi="Arial" w:cs="Calibri"/>
          <w:b/>
          <w:iCs/>
          <w:kern w:val="0"/>
          <w14:ligatures w14:val="none"/>
        </w:rPr>
        <w:t xml:space="preserve">: </w:t>
      </w:r>
      <w:r w:rsidR="00D94188" w:rsidRPr="00D94188">
        <w:rPr>
          <w:rFonts w:ascii="Arial" w:eastAsia="Calibri" w:hAnsi="Arial" w:cs="Calibri"/>
          <w:b/>
          <w:iCs/>
          <w:kern w:val="0"/>
          <w14:ligatures w14:val="none"/>
        </w:rPr>
        <w:t>human Oligopeptide Transporter 2 (hPepT2)</w:t>
      </w:r>
      <w:r w:rsidR="001D0C65">
        <w:rPr>
          <w:rFonts w:ascii="Arial" w:eastAsia="Calibri" w:hAnsi="Arial" w:cs="Calibri"/>
          <w:b/>
          <w:iCs/>
          <w:kern w:val="0"/>
          <w14:ligatures w14:val="none"/>
        </w:rPr>
        <w:t>-targeted</w:t>
      </w:r>
      <w:r>
        <w:rPr>
          <w:rFonts w:ascii="Arial" w:eastAsia="Calibri" w:hAnsi="Arial" w:cs="Calibri"/>
          <w:b/>
          <w:iCs/>
          <w:kern w:val="0"/>
          <w14:ligatures w14:val="none"/>
        </w:rPr>
        <w:t xml:space="preserve"> design</w:t>
      </w:r>
      <w:r w:rsidR="001D0C65">
        <w:rPr>
          <w:rFonts w:ascii="Arial" w:eastAsia="Calibri" w:hAnsi="Arial" w:cs="Calibri"/>
          <w:b/>
          <w:iCs/>
          <w:kern w:val="0"/>
          <w14:ligatures w14:val="none"/>
        </w:rPr>
        <w:t xml:space="preserve"> of</w:t>
      </w:r>
      <w:r>
        <w:rPr>
          <w:rFonts w:ascii="Arial" w:eastAsia="Calibri" w:hAnsi="Arial" w:cs="Calibri"/>
          <w:b/>
          <w:iCs/>
          <w:kern w:val="0"/>
          <w14:ligatures w14:val="none"/>
        </w:rPr>
        <w:t xml:space="preserve"> new and</w:t>
      </w:r>
      <w:r w:rsidR="00D94188" w:rsidRPr="00D94188">
        <w:rPr>
          <w:rFonts w:ascii="Arial" w:eastAsia="Calibri" w:hAnsi="Arial" w:cs="Calibri"/>
          <w:b/>
          <w:iCs/>
          <w:kern w:val="0"/>
          <w14:ligatures w14:val="none"/>
        </w:rPr>
        <w:t xml:space="preserve"> </w:t>
      </w:r>
      <w:r w:rsidR="001D0C65">
        <w:rPr>
          <w:rFonts w:ascii="Arial" w:eastAsia="Calibri" w:hAnsi="Arial" w:cs="Calibri"/>
          <w:b/>
          <w:iCs/>
          <w:kern w:val="0"/>
          <w14:ligatures w14:val="none"/>
        </w:rPr>
        <w:t>s</w:t>
      </w:r>
      <w:r w:rsidR="00D94188" w:rsidRPr="00D94188">
        <w:rPr>
          <w:rFonts w:ascii="Arial" w:eastAsia="Calibri" w:hAnsi="Arial" w:cs="Calibri"/>
          <w:b/>
          <w:iCs/>
          <w:kern w:val="0"/>
          <w14:ligatures w14:val="none"/>
        </w:rPr>
        <w:t xml:space="preserve">afer </w:t>
      </w:r>
      <w:r w:rsidR="001D0C65">
        <w:rPr>
          <w:rFonts w:ascii="Arial" w:eastAsia="Calibri" w:hAnsi="Arial" w:cs="Calibri"/>
          <w:b/>
          <w:iCs/>
          <w:kern w:val="0"/>
          <w14:ligatures w14:val="none"/>
        </w:rPr>
        <w:t>p</w:t>
      </w:r>
      <w:r w:rsidR="00D94188" w:rsidRPr="00D94188">
        <w:rPr>
          <w:rFonts w:ascii="Arial" w:eastAsia="Calibri" w:hAnsi="Arial" w:cs="Calibri"/>
          <w:b/>
          <w:iCs/>
          <w:kern w:val="0"/>
          <w14:ligatures w14:val="none"/>
        </w:rPr>
        <w:t xml:space="preserve">olymyxin </w:t>
      </w:r>
      <w:r w:rsidR="001D0C65">
        <w:rPr>
          <w:rFonts w:ascii="Arial" w:eastAsia="Calibri" w:hAnsi="Arial" w:cs="Calibri"/>
          <w:b/>
          <w:iCs/>
          <w:kern w:val="0"/>
          <w14:ligatures w14:val="none"/>
        </w:rPr>
        <w:t>a</w:t>
      </w:r>
      <w:r w:rsidR="00D94188" w:rsidRPr="00D94188">
        <w:rPr>
          <w:rFonts w:ascii="Arial" w:eastAsia="Calibri" w:hAnsi="Arial" w:cs="Calibri"/>
          <w:b/>
          <w:iCs/>
          <w:kern w:val="0"/>
          <w14:ligatures w14:val="none"/>
        </w:rPr>
        <w:t>ntibiotics</w:t>
      </w:r>
    </w:p>
    <w:p w14:paraId="72854664" w14:textId="77777777" w:rsidR="00D94188" w:rsidRPr="00D94188" w:rsidRDefault="00D94188" w:rsidP="00D94188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A326C9">
        <w:rPr>
          <w:rFonts w:ascii="Arial" w:hAnsi="Arial" w:cs="Arial"/>
          <w:b/>
          <w:bCs/>
          <w:sz w:val="20"/>
          <w:szCs w:val="20"/>
          <w:u w:val="single"/>
        </w:rPr>
        <w:t>Yining</w:t>
      </w:r>
      <w:proofErr w:type="spellEnd"/>
      <w:r w:rsidRPr="00A326C9">
        <w:rPr>
          <w:rFonts w:ascii="Arial" w:hAnsi="Arial" w:cs="Arial"/>
          <w:b/>
          <w:bCs/>
          <w:sz w:val="20"/>
          <w:szCs w:val="20"/>
          <w:u w:val="single"/>
        </w:rPr>
        <w:t xml:space="preserve"> Luo</w:t>
      </w:r>
      <w:r w:rsidRPr="00A326C9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1</w:t>
      </w:r>
      <w:r w:rsidRPr="00A326C9">
        <w:rPr>
          <w:rFonts w:ascii="Arial" w:hAnsi="Arial" w:cs="Arial"/>
          <w:sz w:val="20"/>
          <w:szCs w:val="20"/>
        </w:rPr>
        <w:t>,</w:t>
      </w:r>
      <w:r w:rsidRPr="00D941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4188">
        <w:rPr>
          <w:rFonts w:ascii="Arial" w:hAnsi="Arial" w:cs="Arial"/>
          <w:sz w:val="20"/>
          <w:szCs w:val="20"/>
        </w:rPr>
        <w:t>Xukai</w:t>
      </w:r>
      <w:proofErr w:type="spellEnd"/>
      <w:r w:rsidRPr="00D94188">
        <w:rPr>
          <w:rFonts w:ascii="Arial" w:hAnsi="Arial" w:cs="Arial"/>
          <w:sz w:val="20"/>
          <w:szCs w:val="20"/>
        </w:rPr>
        <w:t xml:space="preserve"> Jiang</w:t>
      </w:r>
      <w:r w:rsidRPr="00D94188">
        <w:rPr>
          <w:rFonts w:ascii="Arial" w:hAnsi="Arial" w:cs="Arial"/>
          <w:sz w:val="20"/>
          <w:szCs w:val="20"/>
          <w:vertAlign w:val="superscript"/>
        </w:rPr>
        <w:t>2</w:t>
      </w:r>
      <w:r w:rsidRPr="00D94188">
        <w:rPr>
          <w:rFonts w:ascii="Arial" w:hAnsi="Arial" w:cs="Arial"/>
          <w:sz w:val="20"/>
          <w:szCs w:val="20"/>
        </w:rPr>
        <w:t>, Jian Li</w:t>
      </w:r>
      <w:r w:rsidRPr="00D94188">
        <w:rPr>
          <w:rFonts w:ascii="Arial" w:hAnsi="Arial" w:cs="Arial"/>
          <w:sz w:val="20"/>
          <w:szCs w:val="20"/>
          <w:vertAlign w:val="superscript"/>
        </w:rPr>
        <w:t>3</w:t>
      </w:r>
      <w:r w:rsidRPr="00D94188">
        <w:rPr>
          <w:rFonts w:ascii="Arial" w:hAnsi="Arial" w:cs="Arial"/>
          <w:sz w:val="20"/>
          <w:szCs w:val="20"/>
        </w:rPr>
        <w:t>, Fanfan Zhou</w:t>
      </w:r>
      <w:proofErr w:type="gramStart"/>
      <w:r w:rsidRPr="00D94188">
        <w:rPr>
          <w:rFonts w:ascii="Arial" w:hAnsi="Arial" w:cs="Arial"/>
          <w:sz w:val="20"/>
          <w:szCs w:val="20"/>
          <w:vertAlign w:val="superscript"/>
        </w:rPr>
        <w:t>1,*</w:t>
      </w:r>
      <w:proofErr w:type="gramEnd"/>
      <w:r w:rsidRPr="00D94188">
        <w:rPr>
          <w:rFonts w:ascii="Arial" w:hAnsi="Arial" w:cs="Arial"/>
          <w:sz w:val="20"/>
          <w:szCs w:val="20"/>
        </w:rPr>
        <w:t xml:space="preserve"> </w:t>
      </w:r>
    </w:p>
    <w:p w14:paraId="7DEA50C0" w14:textId="77777777" w:rsidR="00D94188" w:rsidRPr="00D94188" w:rsidRDefault="00D94188" w:rsidP="00D94188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OLE_LINK13"/>
      <w:bookmarkStart w:id="1" w:name="OLE_LINK14"/>
      <w:r w:rsidRPr="00D94188">
        <w:rPr>
          <w:rFonts w:ascii="Arial" w:hAnsi="Arial" w:cs="Arial"/>
          <w:sz w:val="20"/>
          <w:szCs w:val="20"/>
          <w:vertAlign w:val="superscript"/>
        </w:rPr>
        <w:t>1</w:t>
      </w:r>
      <w:r w:rsidRPr="00D94188">
        <w:rPr>
          <w:rFonts w:ascii="Arial" w:hAnsi="Arial" w:cs="Arial"/>
          <w:sz w:val="20"/>
          <w:szCs w:val="20"/>
        </w:rPr>
        <w:t xml:space="preserve">Molecular Drug Development Group, Sydney Pharmacy School, The University of Sydney, Sydney 2006, </w:t>
      </w:r>
      <w:proofErr w:type="gramStart"/>
      <w:r w:rsidRPr="00D94188">
        <w:rPr>
          <w:rFonts w:ascii="Arial" w:hAnsi="Arial" w:cs="Arial"/>
          <w:sz w:val="20"/>
          <w:szCs w:val="20"/>
        </w:rPr>
        <w:t>Australia;</w:t>
      </w:r>
      <w:proofErr w:type="gramEnd"/>
    </w:p>
    <w:p w14:paraId="2128E1A5" w14:textId="77777777" w:rsidR="00D94188" w:rsidRPr="00D94188" w:rsidRDefault="00D94188" w:rsidP="00D941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94188">
        <w:rPr>
          <w:rFonts w:ascii="Arial" w:hAnsi="Arial" w:cs="Arial"/>
          <w:sz w:val="20"/>
          <w:szCs w:val="20"/>
          <w:vertAlign w:val="superscript"/>
        </w:rPr>
        <w:t>2</w:t>
      </w:r>
      <w:r w:rsidRPr="00D94188">
        <w:rPr>
          <w:rFonts w:ascii="Arial" w:hAnsi="Arial" w:cs="Arial"/>
          <w:sz w:val="20"/>
          <w:szCs w:val="20"/>
        </w:rPr>
        <w:t xml:space="preserve">National Glycoengineering Research </w:t>
      </w:r>
      <w:proofErr w:type="spellStart"/>
      <w:r w:rsidRPr="00D94188">
        <w:rPr>
          <w:rFonts w:ascii="Arial" w:hAnsi="Arial" w:cs="Arial"/>
          <w:sz w:val="20"/>
          <w:szCs w:val="20"/>
        </w:rPr>
        <w:t>Center</w:t>
      </w:r>
      <w:proofErr w:type="spellEnd"/>
      <w:r w:rsidRPr="00D94188">
        <w:rPr>
          <w:rFonts w:ascii="Arial" w:hAnsi="Arial" w:cs="Arial"/>
          <w:sz w:val="20"/>
          <w:szCs w:val="20"/>
        </w:rPr>
        <w:t xml:space="preserve">, Shandong University, Qingdao 266237, </w:t>
      </w:r>
      <w:proofErr w:type="gramStart"/>
      <w:r w:rsidRPr="00D94188">
        <w:rPr>
          <w:rFonts w:ascii="Arial" w:hAnsi="Arial" w:cs="Arial"/>
          <w:sz w:val="20"/>
          <w:szCs w:val="20"/>
        </w:rPr>
        <w:t>China;</w:t>
      </w:r>
      <w:proofErr w:type="gramEnd"/>
    </w:p>
    <w:p w14:paraId="0CF05E52" w14:textId="7C5F1553" w:rsidR="00D51065" w:rsidRDefault="00D94188" w:rsidP="00D5106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94188">
        <w:rPr>
          <w:rFonts w:ascii="Arial" w:hAnsi="Arial" w:cs="Arial"/>
          <w:sz w:val="20"/>
          <w:szCs w:val="20"/>
          <w:vertAlign w:val="superscript"/>
        </w:rPr>
        <w:t>3</w:t>
      </w:r>
      <w:r w:rsidRPr="00D94188">
        <w:rPr>
          <w:rFonts w:ascii="Arial" w:hAnsi="Arial" w:cs="Arial"/>
          <w:sz w:val="20"/>
          <w:szCs w:val="20"/>
        </w:rPr>
        <w:t xml:space="preserve">Biomedicine Discovery Institute, Infection &amp; Immunity Program, Monash University, </w:t>
      </w:r>
      <w:bookmarkStart w:id="2" w:name="OLE_LINK22"/>
      <w:bookmarkStart w:id="3" w:name="OLE_LINK23"/>
      <w:r w:rsidRPr="00D94188">
        <w:rPr>
          <w:rFonts w:ascii="Arial" w:hAnsi="Arial" w:cs="Arial"/>
          <w:sz w:val="20"/>
          <w:szCs w:val="20"/>
        </w:rPr>
        <w:t>Melbourne</w:t>
      </w:r>
      <w:bookmarkEnd w:id="2"/>
      <w:bookmarkEnd w:id="3"/>
      <w:r w:rsidRPr="00D94188">
        <w:rPr>
          <w:rFonts w:ascii="Arial" w:hAnsi="Arial" w:cs="Arial"/>
          <w:sz w:val="20"/>
          <w:szCs w:val="20"/>
        </w:rPr>
        <w:t xml:space="preserve"> 3800, </w:t>
      </w:r>
      <w:proofErr w:type="gramStart"/>
      <w:r w:rsidRPr="00D94188">
        <w:rPr>
          <w:rFonts w:ascii="Arial" w:hAnsi="Arial" w:cs="Arial"/>
          <w:sz w:val="20"/>
          <w:szCs w:val="20"/>
        </w:rPr>
        <w:t>Australia;</w:t>
      </w:r>
      <w:bookmarkEnd w:id="0"/>
      <w:bookmarkEnd w:id="1"/>
      <w:proofErr w:type="gramEnd"/>
    </w:p>
    <w:p w14:paraId="5A048661" w14:textId="77777777" w:rsidR="00D51065" w:rsidRPr="00D94188" w:rsidRDefault="00D51065" w:rsidP="00D5106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3DBACA" w14:textId="282EF5C9" w:rsidR="00F05A6B" w:rsidRPr="00F05A6B" w:rsidRDefault="00B8473A" w:rsidP="00F05A6B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>The</w:t>
      </w:r>
      <w:r w:rsidR="00A326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>emergence</w:t>
      </w:r>
      <w:r w:rsidR="00A326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>of multidrug-resistant</w:t>
      </w:r>
      <w:r w:rsidR="005875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6536">
        <w:rPr>
          <w:rFonts w:ascii="Arial" w:hAnsi="Arial" w:cs="Arial"/>
          <w:color w:val="000000" w:themeColor="text1"/>
          <w:sz w:val="20"/>
          <w:szCs w:val="20"/>
        </w:rPr>
        <w:t xml:space="preserve">(MDR) </w:t>
      </w:r>
      <w:r w:rsidR="005875E2">
        <w:rPr>
          <w:rFonts w:ascii="Arial" w:hAnsi="Arial" w:cs="Arial"/>
          <w:color w:val="000000" w:themeColor="text1"/>
          <w:sz w:val="20"/>
          <w:szCs w:val="20"/>
        </w:rPr>
        <w:t>gram-negative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75E2">
        <w:rPr>
          <w:rFonts w:ascii="Arial" w:hAnsi="Arial" w:cs="Arial"/>
          <w:color w:val="000000" w:themeColor="text1"/>
          <w:sz w:val="20"/>
          <w:szCs w:val="20"/>
        </w:rPr>
        <w:t xml:space="preserve">bacterial 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infections requires new antibiotics. Polymyxins </w:t>
      </w:r>
      <w:r w:rsidR="004E2FC8">
        <w:rPr>
          <w:rFonts w:ascii="Arial" w:hAnsi="Arial" w:cs="Arial"/>
          <w:color w:val="000000" w:themeColor="text1"/>
          <w:sz w:val="20"/>
          <w:szCs w:val="20"/>
        </w:rPr>
        <w:t>are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the last-line treatment </w:t>
      </w:r>
      <w:r w:rsidR="00A326C9" w:rsidRPr="00F05A6B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="00A326C9">
        <w:rPr>
          <w:rFonts w:ascii="Arial" w:hAnsi="Arial" w:cs="Arial"/>
          <w:color w:val="000000" w:themeColor="text1"/>
          <w:sz w:val="20"/>
          <w:szCs w:val="20"/>
        </w:rPr>
        <w:t>these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‘superbugs’; however, their clinical usage is greatly limited </w:t>
      </w:r>
      <w:r w:rsidR="004E2FC8">
        <w:rPr>
          <w:rFonts w:ascii="Arial" w:hAnsi="Arial" w:cs="Arial"/>
          <w:color w:val="000000" w:themeColor="text1"/>
          <w:sz w:val="20"/>
          <w:szCs w:val="20"/>
        </w:rPr>
        <w:t>due t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>o nephrotoxicity. We</w:t>
      </w:r>
      <w:r w:rsidR="004E2FC8">
        <w:rPr>
          <w:rFonts w:ascii="Arial" w:hAnsi="Arial" w:cs="Arial"/>
          <w:color w:val="000000" w:themeColor="text1"/>
          <w:sz w:val="20"/>
          <w:szCs w:val="20"/>
        </w:rPr>
        <w:t xml:space="preserve"> previously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reported that human Oligopeptide Transporter 2 (hPepT2) mediates the </w:t>
      </w:r>
      <w:r w:rsidR="004E2FC8">
        <w:rPr>
          <w:rFonts w:ascii="Arial" w:hAnsi="Arial" w:cs="Arial"/>
          <w:color w:val="000000" w:themeColor="text1"/>
          <w:sz w:val="20"/>
          <w:szCs w:val="20"/>
        </w:rPr>
        <w:t xml:space="preserve">renal 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reabsorption of polymyxins </w:t>
      </w:r>
      <w:r w:rsidR="004E2FC8">
        <w:rPr>
          <w:rFonts w:ascii="Arial" w:hAnsi="Arial" w:cs="Arial"/>
          <w:color w:val="000000" w:themeColor="text1"/>
          <w:sz w:val="20"/>
          <w:szCs w:val="20"/>
        </w:rPr>
        <w:t>causing</w:t>
      </w:r>
      <w:r w:rsidR="00DD3687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="004E2FC8">
        <w:rPr>
          <w:rFonts w:ascii="Arial" w:hAnsi="Arial" w:cs="Arial"/>
          <w:color w:val="000000" w:themeColor="text1"/>
          <w:sz w:val="20"/>
          <w:szCs w:val="20"/>
        </w:rPr>
        <w:t>ir</w:t>
      </w:r>
      <w:r w:rsidR="00DD3687">
        <w:rPr>
          <w:rFonts w:ascii="Arial" w:hAnsi="Arial" w:cs="Arial"/>
          <w:color w:val="000000" w:themeColor="text1"/>
          <w:sz w:val="20"/>
          <w:szCs w:val="20"/>
        </w:rPr>
        <w:t xml:space="preserve"> toxic accumulation</w:t>
      </w:r>
      <w:r w:rsidR="004E2FC8">
        <w:rPr>
          <w:rFonts w:ascii="Arial" w:hAnsi="Arial" w:cs="Arial"/>
          <w:color w:val="000000" w:themeColor="text1"/>
          <w:sz w:val="20"/>
          <w:szCs w:val="20"/>
        </w:rPr>
        <w:t>.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326C9">
        <w:rPr>
          <w:rFonts w:ascii="Arial" w:hAnsi="Arial" w:cs="Arial"/>
          <w:color w:val="000000" w:themeColor="text1"/>
          <w:sz w:val="20"/>
          <w:szCs w:val="20"/>
        </w:rPr>
        <w:t>Nevertheless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DD3687">
        <w:rPr>
          <w:rFonts w:ascii="Arial" w:hAnsi="Arial" w:cs="Arial"/>
          <w:color w:val="000000" w:themeColor="text1"/>
          <w:sz w:val="20"/>
          <w:szCs w:val="20"/>
        </w:rPr>
        <w:t>how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hPepT2 and polymyxins</w:t>
      </w:r>
      <w:r w:rsidR="00DD3687">
        <w:rPr>
          <w:rFonts w:ascii="Arial" w:hAnsi="Arial" w:cs="Arial"/>
          <w:color w:val="000000" w:themeColor="text1"/>
          <w:sz w:val="20"/>
          <w:szCs w:val="20"/>
        </w:rPr>
        <w:t xml:space="preserve"> interact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remains unclear. </w:t>
      </w:r>
    </w:p>
    <w:p w14:paraId="36275033" w14:textId="77777777" w:rsidR="00F05A6B" w:rsidRDefault="00F05A6B" w:rsidP="00F05A6B">
      <w:pPr>
        <w:spacing w:after="0"/>
        <w:jc w:val="both"/>
        <w:rPr>
          <w:rFonts w:ascii="Arial" w:hAnsi="Arial" w:cs="Arial"/>
          <w:color w:val="156082" w:themeColor="accent1"/>
          <w:sz w:val="20"/>
          <w:szCs w:val="20"/>
        </w:rPr>
      </w:pPr>
    </w:p>
    <w:p w14:paraId="791B4ECE" w14:textId="5D5A6B66" w:rsidR="00F05A6B" w:rsidRPr="00584B7D" w:rsidRDefault="00F05A6B" w:rsidP="000E177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5A6B">
        <w:rPr>
          <w:rFonts w:ascii="Arial" w:hAnsi="Arial" w:cs="Arial"/>
          <w:color w:val="000000" w:themeColor="text1"/>
          <w:sz w:val="20"/>
          <w:szCs w:val="20"/>
        </w:rPr>
        <w:t xml:space="preserve">To facilitate the rational design of </w:t>
      </w:r>
      <w:r w:rsidR="00DD3687">
        <w:rPr>
          <w:rFonts w:ascii="Arial" w:hAnsi="Arial" w:cs="Arial"/>
          <w:color w:val="000000" w:themeColor="text1"/>
          <w:sz w:val="20"/>
          <w:szCs w:val="20"/>
        </w:rPr>
        <w:t xml:space="preserve">new and </w:t>
      </w:r>
      <w:r w:rsidRPr="00F05A6B">
        <w:rPr>
          <w:rFonts w:ascii="Arial" w:hAnsi="Arial" w:cs="Arial"/>
          <w:color w:val="000000" w:themeColor="text1"/>
          <w:sz w:val="20"/>
          <w:szCs w:val="20"/>
        </w:rPr>
        <w:t xml:space="preserve">safer polymyxin antibiotics, we </w:t>
      </w:r>
      <w:r w:rsidR="00DD3687">
        <w:rPr>
          <w:rFonts w:ascii="Arial" w:hAnsi="Arial" w:cs="Arial"/>
          <w:color w:val="000000" w:themeColor="text1"/>
          <w:sz w:val="20"/>
          <w:szCs w:val="20"/>
        </w:rPr>
        <w:t>explore the</w:t>
      </w:r>
      <w:r w:rsidRPr="00F05A6B">
        <w:rPr>
          <w:rFonts w:ascii="Arial" w:hAnsi="Arial" w:cs="Arial"/>
          <w:color w:val="000000" w:themeColor="text1"/>
          <w:sz w:val="20"/>
          <w:szCs w:val="20"/>
        </w:rPr>
        <w:t xml:space="preserve"> structure-interaction relationship (SIR) </w:t>
      </w:r>
      <w:r>
        <w:rPr>
          <w:rFonts w:ascii="Arial" w:hAnsi="Arial" w:cs="Arial"/>
          <w:color w:val="000000" w:themeColor="text1"/>
          <w:sz w:val="20"/>
          <w:szCs w:val="20"/>
        </w:rPr>
        <w:t>of</w:t>
      </w:r>
      <w:r w:rsidRPr="00F05A6B">
        <w:rPr>
          <w:rFonts w:ascii="Arial" w:hAnsi="Arial" w:cs="Arial"/>
          <w:color w:val="000000" w:themeColor="text1"/>
          <w:sz w:val="20"/>
          <w:szCs w:val="20"/>
        </w:rPr>
        <w:t xml:space="preserve"> hPepT2 and polymyxins. </w:t>
      </w:r>
      <w:r w:rsidR="004E2FC8">
        <w:rPr>
          <w:rFonts w:ascii="Arial" w:hAnsi="Arial" w:cs="Arial"/>
          <w:color w:val="000000" w:themeColor="text1"/>
          <w:sz w:val="20"/>
          <w:szCs w:val="20"/>
        </w:rPr>
        <w:t>Using</w:t>
      </w:r>
      <w:r w:rsidR="004E2FC8" w:rsidRPr="00F05A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3687">
        <w:rPr>
          <w:rFonts w:ascii="Arial" w:hAnsi="Arial" w:cs="Arial"/>
          <w:color w:val="000000" w:themeColor="text1"/>
          <w:sz w:val="20"/>
          <w:szCs w:val="20"/>
        </w:rPr>
        <w:t xml:space="preserve">bioinformatic prediction, </w:t>
      </w:r>
      <w:r w:rsidRPr="00F05A6B">
        <w:rPr>
          <w:rFonts w:ascii="Arial" w:hAnsi="Arial" w:cs="Arial"/>
          <w:color w:val="000000" w:themeColor="text1"/>
          <w:sz w:val="20"/>
          <w:szCs w:val="20"/>
        </w:rPr>
        <w:t xml:space="preserve">we </w:t>
      </w:r>
      <w:r w:rsidR="005D7F8F">
        <w:rPr>
          <w:rFonts w:ascii="Arial" w:hAnsi="Arial" w:cs="Arial"/>
          <w:color w:val="000000" w:themeColor="text1"/>
          <w:sz w:val="20"/>
          <w:szCs w:val="20"/>
        </w:rPr>
        <w:t>identified</w:t>
      </w:r>
      <w:r w:rsidR="00CE636B" w:rsidRPr="00F05A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05A6B">
        <w:rPr>
          <w:rFonts w:ascii="Arial" w:hAnsi="Arial" w:cs="Arial"/>
          <w:color w:val="000000" w:themeColor="text1"/>
          <w:sz w:val="20"/>
          <w:szCs w:val="20"/>
        </w:rPr>
        <w:t>specific amino acid residues</w:t>
      </w:r>
      <w:r w:rsidR="005D7F8F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5D7F8F" w:rsidRPr="00F05A6B">
        <w:rPr>
          <w:rFonts w:ascii="Arial" w:hAnsi="Arial" w:cs="Arial"/>
          <w:color w:val="000000" w:themeColor="text1"/>
          <w:sz w:val="20"/>
          <w:szCs w:val="20"/>
        </w:rPr>
        <w:t xml:space="preserve"> transmembrane domains (TMs)</w:t>
      </w:r>
      <w:r w:rsidR="005D7F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05A6B">
        <w:rPr>
          <w:rFonts w:ascii="Arial" w:hAnsi="Arial" w:cs="Arial"/>
          <w:color w:val="000000" w:themeColor="text1"/>
          <w:sz w:val="20"/>
          <w:szCs w:val="20"/>
        </w:rPr>
        <w:t>o</w:t>
      </w:r>
      <w:r w:rsidR="005D7F8F">
        <w:rPr>
          <w:rFonts w:ascii="Arial" w:hAnsi="Arial" w:cs="Arial"/>
          <w:color w:val="000000" w:themeColor="text1"/>
          <w:sz w:val="20"/>
          <w:szCs w:val="20"/>
        </w:rPr>
        <w:t>f</w:t>
      </w:r>
      <w:r w:rsidRPr="00F05A6B">
        <w:rPr>
          <w:rFonts w:ascii="Arial" w:hAnsi="Arial" w:cs="Arial"/>
          <w:color w:val="000000" w:themeColor="text1"/>
          <w:sz w:val="20"/>
          <w:szCs w:val="20"/>
        </w:rPr>
        <w:t xml:space="preserve"> hPepT2 that </w:t>
      </w:r>
      <w:r w:rsidR="00DD3687">
        <w:rPr>
          <w:rFonts w:ascii="Arial" w:hAnsi="Arial" w:cs="Arial"/>
          <w:color w:val="000000" w:themeColor="text1"/>
          <w:sz w:val="20"/>
          <w:szCs w:val="20"/>
        </w:rPr>
        <w:t>may be involved in</w:t>
      </w:r>
      <w:r w:rsidRPr="00F05A6B">
        <w:rPr>
          <w:rFonts w:ascii="Arial" w:hAnsi="Arial" w:cs="Arial"/>
          <w:color w:val="000000" w:themeColor="text1"/>
          <w:sz w:val="20"/>
          <w:szCs w:val="20"/>
        </w:rPr>
        <w:t xml:space="preserve"> polymyxin binding</w:t>
      </w:r>
      <w:r w:rsidR="005D7F8F">
        <w:rPr>
          <w:rFonts w:ascii="Arial" w:hAnsi="Arial" w:cs="Arial"/>
          <w:color w:val="000000" w:themeColor="text1"/>
          <w:sz w:val="20"/>
          <w:szCs w:val="20"/>
        </w:rPr>
        <w:t>, which will be further explored in this study.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387B9C3" w14:textId="52600B8D" w:rsid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="00F05A6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05A6B" w:rsidRPr="00F05A6B">
        <w:rPr>
          <w:rFonts w:ascii="Arial" w:hAnsi="Arial" w:cs="Arial"/>
          <w:sz w:val="20"/>
          <w:szCs w:val="20"/>
        </w:rPr>
        <w:t>Alanine scanning mutagenesis has been adopted to</w:t>
      </w:r>
      <w:r w:rsidR="00A86423">
        <w:rPr>
          <w:rFonts w:ascii="Arial" w:hAnsi="Arial" w:cs="Arial"/>
          <w:sz w:val="20"/>
          <w:szCs w:val="20"/>
        </w:rPr>
        <w:t xml:space="preserve"> generate</w:t>
      </w:r>
      <w:r w:rsidR="00F05A6B" w:rsidRPr="00F05A6B">
        <w:rPr>
          <w:rFonts w:ascii="Arial" w:hAnsi="Arial" w:cs="Arial"/>
          <w:sz w:val="20"/>
          <w:szCs w:val="20"/>
        </w:rPr>
        <w:t xml:space="preserve"> hPepT2 mutants</w:t>
      </w:r>
      <w:r w:rsidR="00A86423">
        <w:rPr>
          <w:rFonts w:ascii="Arial" w:hAnsi="Arial" w:cs="Arial"/>
          <w:sz w:val="20"/>
          <w:szCs w:val="20"/>
        </w:rPr>
        <w:t xml:space="preserve"> in the related regions</w:t>
      </w:r>
      <w:r w:rsidR="00F05A6B">
        <w:rPr>
          <w:rFonts w:ascii="Arial" w:hAnsi="Arial" w:cs="Arial"/>
          <w:sz w:val="20"/>
          <w:szCs w:val="20"/>
        </w:rPr>
        <w:t>.</w:t>
      </w:r>
      <w:r w:rsidR="00F05A6B" w:rsidRPr="00F05A6B">
        <w:rPr>
          <w:rFonts w:ascii="Arial" w:hAnsi="Arial" w:cs="Arial"/>
          <w:sz w:val="20"/>
          <w:szCs w:val="20"/>
        </w:rPr>
        <w:t xml:space="preserve"> Uptake assay and fluorescence imaging have been utilised to assess the function of hPepT2 and its mutants in mediating the uptake of </w:t>
      </w:r>
      <w:proofErr w:type="spellStart"/>
      <w:r w:rsidR="00F05A6B" w:rsidRPr="00F05A6B">
        <w:rPr>
          <w:rFonts w:ascii="Arial" w:hAnsi="Arial" w:cs="Arial"/>
          <w:sz w:val="20"/>
          <w:szCs w:val="20"/>
        </w:rPr>
        <w:t>glycosarcosine</w:t>
      </w:r>
      <w:proofErr w:type="spellEnd"/>
      <w:r w:rsidR="00F05A6B" w:rsidRPr="00F05A6B">
        <w:rPr>
          <w:rFonts w:ascii="Arial" w:hAnsi="Arial" w:cs="Arial"/>
          <w:sz w:val="20"/>
          <w:szCs w:val="20"/>
        </w:rPr>
        <w:t xml:space="preserve"> (a typical hPepT2 substate) and MIPS-9541 (an approved fluorescence probe of polymyxins) in over-expressing HEK293 cells. Kinetic parameters of hPepT2 and its mutants were also derived. </w:t>
      </w:r>
      <w:proofErr w:type="spellStart"/>
      <w:r w:rsidR="00F05A6B" w:rsidRPr="00F05A6B">
        <w:rPr>
          <w:rFonts w:ascii="Arial" w:hAnsi="Arial" w:cs="Arial"/>
          <w:sz w:val="20"/>
          <w:szCs w:val="20"/>
        </w:rPr>
        <w:t>Biotinylation</w:t>
      </w:r>
      <w:proofErr w:type="spellEnd"/>
      <w:r w:rsidR="00F05A6B" w:rsidRPr="00F05A6B">
        <w:rPr>
          <w:rFonts w:ascii="Arial" w:hAnsi="Arial" w:cs="Arial"/>
          <w:sz w:val="20"/>
          <w:szCs w:val="20"/>
        </w:rPr>
        <w:t xml:space="preserve"> and immunoblotting were employed to investigate the cell surface and total cell expression of hPepT2 and its mutants. </w:t>
      </w:r>
    </w:p>
    <w:p w14:paraId="40EC1FAC" w14:textId="77777777" w:rsidR="00A86423" w:rsidRPr="00C315D2" w:rsidRDefault="00A86423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4D4BCDD1" w14:textId="141CAEDA" w:rsidR="00F05A6B" w:rsidRDefault="00795378" w:rsidP="00A326C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Our data showed that </w:t>
      </w:r>
      <w:r w:rsidR="004F08C4">
        <w:rPr>
          <w:rFonts w:ascii="Arial" w:hAnsi="Arial" w:cs="Arial"/>
          <w:color w:val="000000" w:themeColor="text1"/>
          <w:sz w:val="20"/>
          <w:szCs w:val="20"/>
        </w:rPr>
        <w:t>several</w:t>
      </w:r>
      <w:r w:rsidR="004F08C4" w:rsidRPr="00F05A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hPepT2 </w:t>
      </w:r>
      <w:r w:rsidR="004F08C4">
        <w:rPr>
          <w:rFonts w:ascii="Arial" w:hAnsi="Arial" w:cs="Arial"/>
          <w:color w:val="000000" w:themeColor="text1"/>
          <w:sz w:val="20"/>
          <w:szCs w:val="20"/>
        </w:rPr>
        <w:t xml:space="preserve">mutants are associated with 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significantly reduced transport uptake of MIPS-9541. </w:t>
      </w:r>
      <w:r w:rsidR="004F08C4">
        <w:rPr>
          <w:rFonts w:ascii="Arial" w:hAnsi="Arial" w:cs="Arial"/>
          <w:color w:val="000000" w:themeColor="text1"/>
          <w:sz w:val="20"/>
          <w:szCs w:val="20"/>
        </w:rPr>
        <w:t>Importantly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bookmarkStart w:id="4" w:name="OLE_LINK15"/>
      <w:bookmarkStart w:id="5" w:name="OLE_LINK16"/>
      <w:r w:rsidR="004F08C4">
        <w:rPr>
          <w:rFonts w:ascii="Arial" w:hAnsi="Arial" w:cs="Arial"/>
          <w:color w:val="000000" w:themeColor="text1"/>
          <w:sz w:val="20"/>
          <w:szCs w:val="20"/>
        </w:rPr>
        <w:t>D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>215</w:t>
      </w:r>
      <w:r w:rsidR="004F08C4">
        <w:rPr>
          <w:rFonts w:ascii="Arial" w:hAnsi="Arial" w:cs="Arial"/>
          <w:color w:val="000000" w:themeColor="text1"/>
          <w:sz w:val="20"/>
          <w:szCs w:val="20"/>
        </w:rPr>
        <w:t xml:space="preserve"> residue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has a remarked reduced binding affinity to polymyxin</w:t>
      </w:r>
      <w:bookmarkEnd w:id="4"/>
      <w:bookmarkEnd w:id="5"/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B71C42">
        <w:rPr>
          <w:rFonts w:ascii="Arial" w:hAnsi="Arial" w:cs="Arial"/>
          <w:color w:val="000000" w:themeColor="text1"/>
          <w:sz w:val="20"/>
          <w:szCs w:val="20"/>
        </w:rPr>
        <w:t xml:space="preserve"> other</w:t>
      </w:r>
      <w:r w:rsidR="00F05A6B" w:rsidRPr="00F05A6B">
        <w:rPr>
          <w:rFonts w:ascii="Arial" w:hAnsi="Arial" w:cs="Arial"/>
          <w:color w:val="000000" w:themeColor="text1"/>
          <w:sz w:val="20"/>
          <w:szCs w:val="20"/>
        </w:rPr>
        <w:t xml:space="preserve"> function-less mutants have impaired protein expression or transporter turn-over rate compared to hPepT2. </w:t>
      </w:r>
    </w:p>
    <w:p w14:paraId="2EFA2D4E" w14:textId="77777777" w:rsidR="00A326C9" w:rsidRPr="00A326C9" w:rsidRDefault="00A326C9" w:rsidP="00A326C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p w14:paraId="3C209F79" w14:textId="6D09CE05" w:rsidR="00D94188" w:rsidRPr="00D94188" w:rsidRDefault="00B8473A" w:rsidP="00D9418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346536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</w:t>
      </w:r>
      <w:r w:rsidR="00346536" w:rsidRPr="00D94188">
        <w:rPr>
          <w:rFonts w:ascii="Arial" w:hAnsi="Arial" w:cs="Arial"/>
          <w:color w:val="000000" w:themeColor="text1"/>
          <w:sz w:val="20"/>
          <w:szCs w:val="20"/>
        </w:rPr>
        <w:t xml:space="preserve">We investigate the SIR model of hPepT2 and polymyxin for the first time. </w:t>
      </w:r>
      <w:r w:rsidR="00346536" w:rsidRPr="000E17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D215 residue </w:t>
      </w:r>
      <w:r w:rsidR="0034653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</w:t>
      </w:r>
      <w:r w:rsidR="00346536" w:rsidRPr="000E17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critical for the </w:t>
      </w:r>
      <w:r w:rsidR="00430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binding of</w:t>
      </w:r>
      <w:r w:rsidR="00346536" w:rsidRPr="000E17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polymyxins </w:t>
      </w:r>
      <w:r w:rsidR="00430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with</w:t>
      </w:r>
      <w:r w:rsidR="00346536" w:rsidRPr="000E17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hPepT2.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94188" w:rsidRPr="00D94188">
        <w:rPr>
          <w:rFonts w:ascii="Arial" w:hAnsi="Arial" w:cs="Arial"/>
          <w:color w:val="000000" w:themeColor="text1"/>
          <w:sz w:val="20"/>
          <w:szCs w:val="20"/>
        </w:rPr>
        <w:t xml:space="preserve">Our findings provided important information to elucidate the </w:t>
      </w:r>
      <w:r w:rsidR="00B71C42">
        <w:rPr>
          <w:rFonts w:ascii="Arial" w:hAnsi="Arial" w:cs="Arial"/>
          <w:color w:val="000000" w:themeColor="text1"/>
          <w:sz w:val="20"/>
          <w:szCs w:val="20"/>
        </w:rPr>
        <w:t>interaction</w:t>
      </w:r>
      <w:r w:rsidR="00B71C42" w:rsidRPr="00D941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4188" w:rsidRPr="00D94188">
        <w:rPr>
          <w:rFonts w:ascii="Arial" w:hAnsi="Arial" w:cs="Arial"/>
          <w:color w:val="000000" w:themeColor="text1"/>
          <w:sz w:val="20"/>
          <w:szCs w:val="20"/>
        </w:rPr>
        <w:t xml:space="preserve">of polymyxin </w:t>
      </w:r>
      <w:r w:rsidR="00B71C42">
        <w:rPr>
          <w:rFonts w:ascii="Arial" w:hAnsi="Arial" w:cs="Arial"/>
          <w:color w:val="000000" w:themeColor="text1"/>
          <w:sz w:val="20"/>
          <w:szCs w:val="20"/>
        </w:rPr>
        <w:t>and</w:t>
      </w:r>
      <w:r w:rsidR="00D94188" w:rsidRPr="00D94188">
        <w:rPr>
          <w:rFonts w:ascii="Arial" w:hAnsi="Arial" w:cs="Arial"/>
          <w:color w:val="000000" w:themeColor="text1"/>
          <w:sz w:val="20"/>
          <w:szCs w:val="20"/>
        </w:rPr>
        <w:t xml:space="preserve"> hPepT2</w:t>
      </w:r>
      <w:r w:rsidR="0043041A">
        <w:rPr>
          <w:rFonts w:ascii="Arial" w:hAnsi="Arial" w:cs="Arial"/>
          <w:color w:val="000000" w:themeColor="text1"/>
          <w:sz w:val="20"/>
          <w:szCs w:val="20"/>
        </w:rPr>
        <w:t xml:space="preserve">, which </w:t>
      </w:r>
      <w:r w:rsidR="00D94188" w:rsidRPr="00D94188">
        <w:rPr>
          <w:rFonts w:ascii="Arial" w:hAnsi="Arial" w:cs="Arial"/>
          <w:color w:val="000000" w:themeColor="text1"/>
          <w:sz w:val="20"/>
          <w:szCs w:val="20"/>
        </w:rPr>
        <w:t xml:space="preserve">will guide us to design new antibiotics with </w:t>
      </w:r>
      <w:r w:rsidR="000E1771" w:rsidRPr="00D94188">
        <w:rPr>
          <w:rFonts w:ascii="Arial" w:hAnsi="Arial" w:cs="Arial"/>
          <w:color w:val="000000" w:themeColor="text1"/>
          <w:sz w:val="20"/>
          <w:szCs w:val="20"/>
        </w:rPr>
        <w:t xml:space="preserve">reduced </w:t>
      </w:r>
      <w:r w:rsidR="000E1771">
        <w:rPr>
          <w:rFonts w:ascii="Arial" w:hAnsi="Arial" w:cs="Arial"/>
          <w:color w:val="000000" w:themeColor="text1"/>
          <w:sz w:val="20"/>
          <w:szCs w:val="20"/>
        </w:rPr>
        <w:t>nephrotoxicity</w:t>
      </w:r>
      <w:r w:rsidR="00C77A22">
        <w:rPr>
          <w:rFonts w:ascii="Arial" w:hAnsi="Arial" w:cs="Arial"/>
          <w:color w:val="000000" w:themeColor="text1"/>
          <w:sz w:val="20"/>
          <w:szCs w:val="20"/>
        </w:rPr>
        <w:t xml:space="preserve"> that may</w:t>
      </w:r>
      <w:r w:rsidR="00430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6536">
        <w:rPr>
          <w:rFonts w:ascii="Arial" w:hAnsi="Arial" w:cs="Arial"/>
          <w:color w:val="000000" w:themeColor="text1"/>
          <w:sz w:val="20"/>
          <w:szCs w:val="20"/>
        </w:rPr>
        <w:t>combat</w:t>
      </w:r>
      <w:r w:rsidR="00346536" w:rsidRPr="00D941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6536">
        <w:rPr>
          <w:rFonts w:ascii="Arial" w:hAnsi="Arial" w:cs="Arial"/>
          <w:color w:val="000000" w:themeColor="text1"/>
          <w:sz w:val="20"/>
          <w:szCs w:val="20"/>
        </w:rPr>
        <w:t>MDR</w:t>
      </w:r>
      <w:r w:rsidR="00D94188" w:rsidRPr="00D94188">
        <w:rPr>
          <w:rFonts w:ascii="Arial" w:hAnsi="Arial" w:cs="Arial"/>
          <w:color w:val="000000" w:themeColor="text1"/>
          <w:sz w:val="20"/>
          <w:szCs w:val="20"/>
        </w:rPr>
        <w:t xml:space="preserve"> infections.</w:t>
      </w:r>
    </w:p>
    <w:p w14:paraId="2C801966" w14:textId="1643EC96" w:rsidR="00C315D2" w:rsidRPr="00584B7D" w:rsidRDefault="00C315D2" w:rsidP="00D9418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2ED59AF9" w14:textId="264EAB7F" w:rsidR="00A326C9" w:rsidRPr="00A326C9" w:rsidRDefault="00A326C9" w:rsidP="00A326C9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</w:pPr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 xml:space="preserve">(1) Lu, X. et al. (2016) JAC </w:t>
      </w:r>
      <w:proofErr w:type="gramStart"/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71:</w:t>
      </w:r>
      <w:proofErr w:type="gramEnd"/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 xml:space="preserve"> </w:t>
      </w:r>
      <w:r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403</w:t>
      </w:r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–</w:t>
      </w:r>
      <w:r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412</w:t>
      </w:r>
    </w:p>
    <w:p w14:paraId="4F29729D" w14:textId="6293EB92" w:rsidR="00A326C9" w:rsidRPr="00A326C9" w:rsidRDefault="00A326C9" w:rsidP="00A326C9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</w:pPr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(2) Luo, Y. et al (202</w:t>
      </w:r>
      <w:r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3</w:t>
      </w:r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 xml:space="preserve">) </w:t>
      </w:r>
      <w:proofErr w:type="spellStart"/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Pharmaceutics</w:t>
      </w:r>
      <w:proofErr w:type="spellEnd"/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 xml:space="preserve"> </w:t>
      </w:r>
      <w:proofErr w:type="gramStart"/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5</w:t>
      </w:r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:</w:t>
      </w:r>
      <w:proofErr w:type="gramEnd"/>
      <w:r w:rsidRPr="00A326C9"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 xml:space="preserve"> </w:t>
      </w:r>
      <w:r>
        <w:rPr>
          <w:rFonts w:ascii="Arial" w:eastAsia="Calibri" w:hAnsi="Arial" w:cs="Calibri"/>
          <w:bCs/>
          <w:kern w:val="0"/>
          <w:sz w:val="20"/>
          <w:szCs w:val="20"/>
          <w:lang w:val="fr-FR"/>
          <w14:ligatures w14:val="none"/>
        </w:rPr>
        <w:t>2517</w:t>
      </w:r>
    </w:p>
    <w:p w14:paraId="7401F818" w14:textId="3E4C1D2D" w:rsidR="00A326C9" w:rsidRPr="00BD2CC6" w:rsidRDefault="00CB207B" w:rsidP="00CB207B">
      <w:pPr>
        <w:tabs>
          <w:tab w:val="left" w:pos="3433"/>
        </w:tabs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BD2CC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ab/>
      </w:r>
    </w:p>
    <w:p w14:paraId="6A0DA5AB" w14:textId="77777777" w:rsidR="00A326C9" w:rsidRPr="00BD2CC6" w:rsidRDefault="00A326C9" w:rsidP="00A326C9">
      <w:pPr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sectPr w:rsidR="00A326C9" w:rsidRPr="00BD2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70B70"/>
    <w:multiLevelType w:val="hybridMultilevel"/>
    <w:tmpl w:val="B51C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03405"/>
    <w:multiLevelType w:val="hybridMultilevel"/>
    <w:tmpl w:val="79089142"/>
    <w:lvl w:ilvl="0" w:tplc="818C5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F498F"/>
    <w:multiLevelType w:val="hybridMultilevel"/>
    <w:tmpl w:val="D20E045A"/>
    <w:lvl w:ilvl="0" w:tplc="A89CE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85325">
    <w:abstractNumId w:val="1"/>
  </w:num>
  <w:num w:numId="2" w16cid:durableId="1908028420">
    <w:abstractNumId w:val="2"/>
  </w:num>
  <w:num w:numId="3" w16cid:durableId="2113043449">
    <w:abstractNumId w:val="3"/>
  </w:num>
  <w:num w:numId="4" w16cid:durableId="12616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3551"/>
    <w:rsid w:val="000E1771"/>
    <w:rsid w:val="00107368"/>
    <w:rsid w:val="00113BB7"/>
    <w:rsid w:val="00161A43"/>
    <w:rsid w:val="001C689C"/>
    <w:rsid w:val="001D0C65"/>
    <w:rsid w:val="002017E6"/>
    <w:rsid w:val="00232084"/>
    <w:rsid w:val="00294059"/>
    <w:rsid w:val="003206E4"/>
    <w:rsid w:val="00346536"/>
    <w:rsid w:val="00363D57"/>
    <w:rsid w:val="003A6D5C"/>
    <w:rsid w:val="003C1702"/>
    <w:rsid w:val="003E2C46"/>
    <w:rsid w:val="0043041A"/>
    <w:rsid w:val="004A51B6"/>
    <w:rsid w:val="004E2FC8"/>
    <w:rsid w:val="004F08C4"/>
    <w:rsid w:val="00505761"/>
    <w:rsid w:val="00510CF8"/>
    <w:rsid w:val="00512887"/>
    <w:rsid w:val="00575A29"/>
    <w:rsid w:val="00584B7D"/>
    <w:rsid w:val="005875E2"/>
    <w:rsid w:val="005B11B2"/>
    <w:rsid w:val="005D7F8F"/>
    <w:rsid w:val="00601754"/>
    <w:rsid w:val="006A34BE"/>
    <w:rsid w:val="006F3F1C"/>
    <w:rsid w:val="007141F2"/>
    <w:rsid w:val="007561D8"/>
    <w:rsid w:val="00795378"/>
    <w:rsid w:val="00796206"/>
    <w:rsid w:val="007C367E"/>
    <w:rsid w:val="008071C5"/>
    <w:rsid w:val="00906D34"/>
    <w:rsid w:val="00933DC9"/>
    <w:rsid w:val="00936D4C"/>
    <w:rsid w:val="009523F9"/>
    <w:rsid w:val="009650DF"/>
    <w:rsid w:val="009B1CBB"/>
    <w:rsid w:val="00A0516D"/>
    <w:rsid w:val="00A23537"/>
    <w:rsid w:val="00A326C9"/>
    <w:rsid w:val="00A86423"/>
    <w:rsid w:val="00AE7726"/>
    <w:rsid w:val="00AF2CD4"/>
    <w:rsid w:val="00B10879"/>
    <w:rsid w:val="00B4721D"/>
    <w:rsid w:val="00B625BF"/>
    <w:rsid w:val="00B71C42"/>
    <w:rsid w:val="00B8473A"/>
    <w:rsid w:val="00BD2CC6"/>
    <w:rsid w:val="00C21815"/>
    <w:rsid w:val="00C315D2"/>
    <w:rsid w:val="00C353D8"/>
    <w:rsid w:val="00C54C74"/>
    <w:rsid w:val="00C77A22"/>
    <w:rsid w:val="00CB207B"/>
    <w:rsid w:val="00CE636B"/>
    <w:rsid w:val="00CF5A91"/>
    <w:rsid w:val="00D02BB1"/>
    <w:rsid w:val="00D45A74"/>
    <w:rsid w:val="00D51065"/>
    <w:rsid w:val="00D7428F"/>
    <w:rsid w:val="00D94188"/>
    <w:rsid w:val="00DD3687"/>
    <w:rsid w:val="00DF682E"/>
    <w:rsid w:val="00EC3746"/>
    <w:rsid w:val="00F05A6B"/>
    <w:rsid w:val="00F539FB"/>
    <w:rsid w:val="00F85528"/>
    <w:rsid w:val="00F966A7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418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94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29A3BED1-88D7-8A4B-A893-A91066C95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Yining Luo</cp:lastModifiedBy>
  <cp:revision>6</cp:revision>
  <dcterms:created xsi:type="dcterms:W3CDTF">2025-04-29T09:32:00Z</dcterms:created>
  <dcterms:modified xsi:type="dcterms:W3CDTF">2025-04-29T09:55:00Z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