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32E" w14:textId="37B6970C" w:rsidR="00014F19" w:rsidRPr="00B34351" w:rsidRDefault="00014F19" w:rsidP="00213B66">
      <w:pPr>
        <w:spacing w:line="240" w:lineRule="auto"/>
        <w:jc w:val="both"/>
        <w:rPr>
          <w:b/>
          <w:bCs/>
          <w:sz w:val="20"/>
          <w:szCs w:val="20"/>
        </w:rPr>
      </w:pPr>
      <w:bookmarkStart w:id="0" w:name="_Hlk208762957"/>
      <w:bookmarkStart w:id="1" w:name="_Hlk208789976"/>
      <w:r w:rsidRPr="00B34351">
        <w:rPr>
          <w:b/>
          <w:bCs/>
          <w:sz w:val="20"/>
          <w:szCs w:val="20"/>
        </w:rPr>
        <w:t xml:space="preserve">HIV-1 </w:t>
      </w:r>
      <w:r w:rsidR="0032635A" w:rsidRPr="00B34351">
        <w:rPr>
          <w:b/>
          <w:bCs/>
          <w:sz w:val="20"/>
          <w:szCs w:val="20"/>
        </w:rPr>
        <w:t>t</w:t>
      </w:r>
      <w:r w:rsidRPr="00B34351">
        <w:rPr>
          <w:b/>
          <w:bCs/>
          <w:sz w:val="20"/>
          <w:szCs w:val="20"/>
        </w:rPr>
        <w:t xml:space="preserve">herapy </w:t>
      </w:r>
      <w:r w:rsidR="0032635A" w:rsidRPr="00B34351">
        <w:rPr>
          <w:b/>
          <w:bCs/>
          <w:sz w:val="20"/>
          <w:szCs w:val="20"/>
        </w:rPr>
        <w:t>i</w:t>
      </w:r>
      <w:r w:rsidRPr="00B34351">
        <w:rPr>
          <w:b/>
          <w:bCs/>
          <w:sz w:val="20"/>
          <w:szCs w:val="20"/>
        </w:rPr>
        <w:t xml:space="preserve">nduces </w:t>
      </w:r>
      <w:r w:rsidR="0032635A" w:rsidRPr="00B34351">
        <w:rPr>
          <w:b/>
          <w:bCs/>
          <w:sz w:val="20"/>
          <w:szCs w:val="20"/>
        </w:rPr>
        <w:t>m</w:t>
      </w:r>
      <w:r w:rsidRPr="00B34351">
        <w:rPr>
          <w:b/>
          <w:bCs/>
          <w:sz w:val="20"/>
          <w:szCs w:val="20"/>
        </w:rPr>
        <w:t xml:space="preserve">itochondrial and </w:t>
      </w:r>
      <w:r w:rsidR="0032635A" w:rsidRPr="00B34351">
        <w:rPr>
          <w:b/>
          <w:bCs/>
          <w:sz w:val="20"/>
          <w:szCs w:val="20"/>
        </w:rPr>
        <w:t>c</w:t>
      </w:r>
      <w:r w:rsidRPr="00B34351">
        <w:rPr>
          <w:b/>
          <w:bCs/>
          <w:sz w:val="20"/>
          <w:szCs w:val="20"/>
        </w:rPr>
        <w:t xml:space="preserve">ell </w:t>
      </w:r>
      <w:r w:rsidR="0032635A" w:rsidRPr="00B34351">
        <w:rPr>
          <w:b/>
          <w:bCs/>
          <w:sz w:val="20"/>
          <w:szCs w:val="20"/>
        </w:rPr>
        <w:t>c</w:t>
      </w:r>
      <w:r w:rsidRPr="00B34351">
        <w:rPr>
          <w:b/>
          <w:bCs/>
          <w:sz w:val="20"/>
          <w:szCs w:val="20"/>
        </w:rPr>
        <w:t xml:space="preserve">ycle </w:t>
      </w:r>
      <w:r w:rsidR="0032635A" w:rsidRPr="00B34351">
        <w:rPr>
          <w:b/>
          <w:bCs/>
          <w:sz w:val="20"/>
          <w:szCs w:val="20"/>
        </w:rPr>
        <w:t>d</w:t>
      </w:r>
      <w:r w:rsidRPr="00B34351">
        <w:rPr>
          <w:b/>
          <w:bCs/>
          <w:sz w:val="20"/>
          <w:szCs w:val="20"/>
        </w:rPr>
        <w:t xml:space="preserve">isruption in </w:t>
      </w:r>
      <w:r w:rsidR="0032635A" w:rsidRPr="00B34351">
        <w:rPr>
          <w:b/>
          <w:bCs/>
          <w:sz w:val="20"/>
          <w:szCs w:val="20"/>
        </w:rPr>
        <w:t>h</w:t>
      </w:r>
      <w:r w:rsidRPr="00B34351">
        <w:rPr>
          <w:b/>
          <w:bCs/>
          <w:sz w:val="20"/>
          <w:szCs w:val="20"/>
        </w:rPr>
        <w:t xml:space="preserve">uman </w:t>
      </w:r>
      <w:r w:rsidR="0032635A" w:rsidRPr="00B34351">
        <w:rPr>
          <w:b/>
          <w:bCs/>
          <w:sz w:val="20"/>
          <w:szCs w:val="20"/>
        </w:rPr>
        <w:t>t</w:t>
      </w:r>
      <w:r w:rsidRPr="00B34351">
        <w:rPr>
          <w:b/>
          <w:bCs/>
          <w:sz w:val="20"/>
          <w:szCs w:val="20"/>
        </w:rPr>
        <w:t>rophoblasts</w:t>
      </w:r>
    </w:p>
    <w:p w14:paraId="6EE241D2" w14:textId="501A9CED" w:rsidR="0032635A" w:rsidRPr="00213B66" w:rsidRDefault="0032635A" w:rsidP="00213B66">
      <w:pPr>
        <w:spacing w:line="240" w:lineRule="auto"/>
        <w:jc w:val="both"/>
        <w:rPr>
          <w:sz w:val="20"/>
          <w:szCs w:val="20"/>
        </w:rPr>
      </w:pPr>
      <w:r w:rsidRPr="00B34351">
        <w:rPr>
          <w:sz w:val="20"/>
          <w:szCs w:val="20"/>
        </w:rPr>
        <w:t>Sanelisiwe N</w:t>
      </w:r>
      <w:r w:rsidRPr="00B34351">
        <w:rPr>
          <w:sz w:val="20"/>
          <w:szCs w:val="20"/>
        </w:rPr>
        <w:t>zuza</w:t>
      </w:r>
      <w:r w:rsidRPr="00B34351">
        <w:rPr>
          <w:sz w:val="20"/>
          <w:szCs w:val="20"/>
          <w:vertAlign w:val="superscript"/>
        </w:rPr>
        <w:t>1</w:t>
      </w:r>
      <w:r w:rsidR="005F6B93">
        <w:rPr>
          <w:sz w:val="20"/>
          <w:szCs w:val="20"/>
        </w:rPr>
        <w:t xml:space="preserve"> </w:t>
      </w:r>
      <w:r w:rsidRPr="00B34351">
        <w:rPr>
          <w:sz w:val="20"/>
          <w:szCs w:val="20"/>
        </w:rPr>
        <w:t>Dep</w:t>
      </w:r>
      <w:r w:rsidR="00B34351">
        <w:rPr>
          <w:sz w:val="20"/>
          <w:szCs w:val="20"/>
        </w:rPr>
        <w:t>t</w:t>
      </w:r>
      <w:r w:rsidRPr="00B34351">
        <w:rPr>
          <w:sz w:val="20"/>
          <w:szCs w:val="20"/>
        </w:rPr>
        <w:t xml:space="preserve"> of Pharmacy</w:t>
      </w:r>
      <w:r w:rsidRPr="00B34351">
        <w:rPr>
          <w:sz w:val="20"/>
          <w:szCs w:val="20"/>
        </w:rPr>
        <w:t xml:space="preserve">, </w:t>
      </w:r>
      <w:r w:rsidRPr="00B34351">
        <w:rPr>
          <w:sz w:val="20"/>
          <w:szCs w:val="20"/>
        </w:rPr>
        <w:t>N</w:t>
      </w:r>
      <w:r w:rsidR="00B34351">
        <w:rPr>
          <w:sz w:val="20"/>
          <w:szCs w:val="20"/>
        </w:rPr>
        <w:t>MU</w:t>
      </w:r>
      <w:r w:rsidR="009B37CF" w:rsidRPr="00B34351">
        <w:rPr>
          <w:sz w:val="20"/>
          <w:szCs w:val="20"/>
          <w:vertAlign w:val="superscript"/>
        </w:rPr>
        <w:t>1</w:t>
      </w:r>
      <w:r w:rsidRPr="00B34351">
        <w:rPr>
          <w:sz w:val="20"/>
          <w:szCs w:val="20"/>
        </w:rPr>
        <w:t>, Port Elizabeth</w:t>
      </w:r>
      <w:r w:rsidR="007319FA" w:rsidRPr="00B34351">
        <w:rPr>
          <w:sz w:val="20"/>
          <w:szCs w:val="20"/>
        </w:rPr>
        <w:t xml:space="preserve">, </w:t>
      </w:r>
      <w:r w:rsidR="009B37CF" w:rsidRPr="00B34351">
        <w:rPr>
          <w:sz w:val="20"/>
          <w:szCs w:val="20"/>
        </w:rPr>
        <w:t xml:space="preserve">EC, </w:t>
      </w:r>
      <w:r w:rsidR="007319FA" w:rsidRPr="00B34351">
        <w:rPr>
          <w:sz w:val="20"/>
          <w:szCs w:val="20"/>
        </w:rPr>
        <w:t>South Africa</w:t>
      </w:r>
    </w:p>
    <w:p w14:paraId="69846B20" w14:textId="75A5DD44" w:rsidR="005F5F79" w:rsidRPr="00B34351" w:rsidRDefault="00014F19" w:rsidP="00B34351">
      <w:pPr>
        <w:spacing w:line="240" w:lineRule="auto"/>
        <w:jc w:val="both"/>
        <w:rPr>
          <w:sz w:val="20"/>
          <w:szCs w:val="20"/>
        </w:rPr>
      </w:pPr>
      <w:r w:rsidRPr="00B34351">
        <w:rPr>
          <w:b/>
          <w:bCs/>
          <w:sz w:val="20"/>
          <w:szCs w:val="20"/>
        </w:rPr>
        <w:t>Introduction</w:t>
      </w:r>
      <w:r w:rsidRPr="00B34351">
        <w:rPr>
          <w:sz w:val="20"/>
          <w:szCs w:val="20"/>
        </w:rPr>
        <w:t xml:space="preserve">: </w:t>
      </w:r>
      <w:r w:rsidRPr="00B34351">
        <w:rPr>
          <w:sz w:val="20"/>
          <w:szCs w:val="20"/>
        </w:rPr>
        <w:t>Combination antiretroviral therapy (</w:t>
      </w:r>
      <w:proofErr w:type="spellStart"/>
      <w:r w:rsidRPr="00B34351">
        <w:rPr>
          <w:sz w:val="20"/>
          <w:szCs w:val="20"/>
        </w:rPr>
        <w:t>cART</w:t>
      </w:r>
      <w:proofErr w:type="spellEnd"/>
      <w:r w:rsidRPr="00B34351">
        <w:rPr>
          <w:sz w:val="20"/>
          <w:szCs w:val="20"/>
        </w:rPr>
        <w:t>) has significantly reduced vertical transmission of HIV-1 and is routinely administered to pregnant women living with HIV</w:t>
      </w:r>
      <w:r w:rsidR="0026020E">
        <w:rPr>
          <w:sz w:val="20"/>
          <w:szCs w:val="20"/>
        </w:rPr>
        <w:t xml:space="preserve"> (</w:t>
      </w:r>
      <w:proofErr w:type="spellStart"/>
      <w:r w:rsidR="0026020E" w:rsidRPr="0026020E">
        <w:rPr>
          <w:sz w:val="20"/>
          <w:szCs w:val="20"/>
        </w:rPr>
        <w:t>Mtintsilana</w:t>
      </w:r>
      <w:proofErr w:type="spellEnd"/>
      <w:r w:rsidR="0026020E">
        <w:rPr>
          <w:sz w:val="20"/>
          <w:szCs w:val="20"/>
        </w:rPr>
        <w:t xml:space="preserve"> et al, 2023)</w:t>
      </w:r>
      <w:r w:rsidRPr="00B34351">
        <w:rPr>
          <w:sz w:val="20"/>
          <w:szCs w:val="20"/>
        </w:rPr>
        <w:t xml:space="preserve">. However, increasing clinical evidence links in utero </w:t>
      </w:r>
      <w:proofErr w:type="spellStart"/>
      <w:r w:rsidRPr="00B34351">
        <w:rPr>
          <w:sz w:val="20"/>
          <w:szCs w:val="20"/>
        </w:rPr>
        <w:t>cART</w:t>
      </w:r>
      <w:proofErr w:type="spellEnd"/>
      <w:r w:rsidRPr="00B34351">
        <w:rPr>
          <w:sz w:val="20"/>
          <w:szCs w:val="20"/>
        </w:rPr>
        <w:t xml:space="preserve"> exposure to adverse pregnancy outcomes, including preeclampsia, preterm birth, low birth weight, and small-for-gestational-age neonates</w:t>
      </w:r>
      <w:r w:rsidR="002E5EFC" w:rsidRPr="002E5EFC">
        <w:t xml:space="preserve"> </w:t>
      </w:r>
      <w:r w:rsidR="002E5EFC">
        <w:t>(</w:t>
      </w:r>
      <w:proofErr w:type="spellStart"/>
      <w:r w:rsidR="002E5EFC" w:rsidRPr="002E5EFC">
        <w:rPr>
          <w:sz w:val="20"/>
          <w:szCs w:val="20"/>
        </w:rPr>
        <w:t>Asferie</w:t>
      </w:r>
      <w:proofErr w:type="spellEnd"/>
      <w:r w:rsidR="002E5EFC">
        <w:rPr>
          <w:sz w:val="20"/>
          <w:szCs w:val="20"/>
        </w:rPr>
        <w:t xml:space="preserve"> et al</w:t>
      </w:r>
      <w:r w:rsidR="00C16C04">
        <w:rPr>
          <w:sz w:val="20"/>
          <w:szCs w:val="20"/>
        </w:rPr>
        <w:t>,</w:t>
      </w:r>
      <w:r w:rsidR="002E5EFC">
        <w:rPr>
          <w:sz w:val="20"/>
          <w:szCs w:val="20"/>
        </w:rPr>
        <w:t xml:space="preserve"> 2025;</w:t>
      </w:r>
      <w:r w:rsidR="002E5EFC" w:rsidRPr="002E5EFC">
        <w:t xml:space="preserve"> </w:t>
      </w:r>
      <w:r w:rsidR="002E5EFC" w:rsidRPr="002E5EFC">
        <w:rPr>
          <w:sz w:val="20"/>
          <w:szCs w:val="20"/>
        </w:rPr>
        <w:t>Duffy</w:t>
      </w:r>
      <w:r w:rsidR="002E5EFC">
        <w:rPr>
          <w:sz w:val="20"/>
          <w:szCs w:val="20"/>
        </w:rPr>
        <w:t xml:space="preserve"> et al, 2024)</w:t>
      </w:r>
      <w:r w:rsidRPr="00B34351">
        <w:rPr>
          <w:sz w:val="20"/>
          <w:szCs w:val="20"/>
        </w:rPr>
        <w:t xml:space="preserve">. Despite these associations, the molecular mechanisms by which </w:t>
      </w:r>
      <w:proofErr w:type="spellStart"/>
      <w:r w:rsidRPr="00B34351">
        <w:rPr>
          <w:sz w:val="20"/>
          <w:szCs w:val="20"/>
        </w:rPr>
        <w:t>cART</w:t>
      </w:r>
      <w:proofErr w:type="spellEnd"/>
      <w:r w:rsidRPr="00B34351">
        <w:rPr>
          <w:sz w:val="20"/>
          <w:szCs w:val="20"/>
        </w:rPr>
        <w:t xml:space="preserve"> may contribute to placental dysfunction remain incompletely understood</w:t>
      </w:r>
      <w:r w:rsidR="002E5EFC" w:rsidRPr="002E5EFC">
        <w:t xml:space="preserve"> </w:t>
      </w:r>
      <w:r w:rsidR="00C16C04">
        <w:t>(</w:t>
      </w:r>
      <w:r w:rsidR="002E5EFC" w:rsidRPr="002E5EFC">
        <w:rPr>
          <w:sz w:val="20"/>
          <w:szCs w:val="20"/>
        </w:rPr>
        <w:t>Barrett, et al</w:t>
      </w:r>
      <w:r w:rsidR="002E5EFC">
        <w:rPr>
          <w:sz w:val="20"/>
          <w:szCs w:val="20"/>
        </w:rPr>
        <w:t xml:space="preserve">, 2014; </w:t>
      </w:r>
      <w:r w:rsidR="00C16C04" w:rsidRPr="00C16C04">
        <w:rPr>
          <w:sz w:val="20"/>
          <w:szCs w:val="20"/>
        </w:rPr>
        <w:t>Kalk, et al</w:t>
      </w:r>
      <w:r w:rsidR="00C16C04">
        <w:rPr>
          <w:sz w:val="20"/>
          <w:szCs w:val="20"/>
        </w:rPr>
        <w:t>;</w:t>
      </w:r>
      <w:r w:rsidR="00C16C04" w:rsidRPr="00C16C04">
        <w:rPr>
          <w:sz w:val="20"/>
          <w:szCs w:val="20"/>
        </w:rPr>
        <w:t xml:space="preserve"> </w:t>
      </w:r>
      <w:r w:rsidR="00C16C04">
        <w:rPr>
          <w:sz w:val="20"/>
          <w:szCs w:val="20"/>
        </w:rPr>
        <w:t>2020)</w:t>
      </w:r>
      <w:r w:rsidR="000F02BD">
        <w:rPr>
          <w:sz w:val="20"/>
          <w:szCs w:val="20"/>
        </w:rPr>
        <w:t>.</w:t>
      </w:r>
    </w:p>
    <w:p w14:paraId="55BAD48D" w14:textId="3F766BAB" w:rsidR="00014F19" w:rsidRPr="00B34351" w:rsidRDefault="00014F19" w:rsidP="00B34351">
      <w:pPr>
        <w:spacing w:line="240" w:lineRule="auto"/>
        <w:jc w:val="both"/>
        <w:rPr>
          <w:sz w:val="20"/>
          <w:szCs w:val="20"/>
        </w:rPr>
      </w:pPr>
      <w:r w:rsidRPr="00B34351">
        <w:rPr>
          <w:b/>
          <w:bCs/>
          <w:sz w:val="20"/>
          <w:szCs w:val="20"/>
        </w:rPr>
        <w:t>Aim:</w:t>
      </w:r>
      <w:r w:rsidRPr="00B34351">
        <w:rPr>
          <w:sz w:val="20"/>
          <w:szCs w:val="20"/>
        </w:rPr>
        <w:t xml:space="preserve"> </w:t>
      </w:r>
      <w:r w:rsidRPr="00B34351">
        <w:rPr>
          <w:sz w:val="20"/>
          <w:szCs w:val="20"/>
        </w:rPr>
        <w:t xml:space="preserve">This study aimed to elucidate the impact of </w:t>
      </w:r>
      <w:proofErr w:type="spellStart"/>
      <w:r w:rsidRPr="00B34351">
        <w:rPr>
          <w:sz w:val="20"/>
          <w:szCs w:val="20"/>
        </w:rPr>
        <w:t>cART</w:t>
      </w:r>
      <w:proofErr w:type="spellEnd"/>
      <w:r w:rsidRPr="00B34351">
        <w:rPr>
          <w:sz w:val="20"/>
          <w:szCs w:val="20"/>
        </w:rPr>
        <w:t xml:space="preserve"> regimens on mitochondrial function, cell cycle regulation, and apoptosis in human trophoblast cells, a key component of placental development.</w:t>
      </w:r>
    </w:p>
    <w:p w14:paraId="5AC253A9" w14:textId="7EF9BD3A" w:rsidR="00370643" w:rsidRDefault="00014F19" w:rsidP="00B34351">
      <w:pPr>
        <w:spacing w:line="240" w:lineRule="auto"/>
        <w:jc w:val="both"/>
        <w:rPr>
          <w:sz w:val="20"/>
          <w:szCs w:val="20"/>
        </w:rPr>
      </w:pPr>
      <w:r w:rsidRPr="00B34351">
        <w:rPr>
          <w:b/>
          <w:bCs/>
          <w:sz w:val="20"/>
          <w:szCs w:val="20"/>
        </w:rPr>
        <w:t>Methods</w:t>
      </w:r>
      <w:r w:rsidR="00370643">
        <w:rPr>
          <w:sz w:val="20"/>
          <w:szCs w:val="20"/>
        </w:rPr>
        <w:t xml:space="preserve">: </w:t>
      </w:r>
      <w:r w:rsidR="00370643" w:rsidRPr="00370643">
        <w:rPr>
          <w:sz w:val="20"/>
          <w:szCs w:val="20"/>
        </w:rPr>
        <w:t>An in vitro model employing the HTR-8/</w:t>
      </w:r>
      <w:proofErr w:type="spellStart"/>
      <w:r w:rsidR="00370643" w:rsidRPr="00370643">
        <w:rPr>
          <w:sz w:val="20"/>
          <w:szCs w:val="20"/>
        </w:rPr>
        <w:t>SVneo</w:t>
      </w:r>
      <w:proofErr w:type="spellEnd"/>
      <w:r w:rsidR="00370643" w:rsidRPr="00370643">
        <w:rPr>
          <w:sz w:val="20"/>
          <w:szCs w:val="20"/>
        </w:rPr>
        <w:t xml:space="preserve"> cell line, derived from first-trimester human </w:t>
      </w:r>
      <w:proofErr w:type="spellStart"/>
      <w:r w:rsidR="00370643" w:rsidRPr="00370643">
        <w:rPr>
          <w:sz w:val="20"/>
          <w:szCs w:val="20"/>
        </w:rPr>
        <w:t>extravillous</w:t>
      </w:r>
      <w:proofErr w:type="spellEnd"/>
      <w:r w:rsidR="00370643" w:rsidRPr="00370643">
        <w:rPr>
          <w:sz w:val="20"/>
          <w:szCs w:val="20"/>
        </w:rPr>
        <w:t xml:space="preserve"> trophoblasts, was used to assess the effects of </w:t>
      </w:r>
      <w:proofErr w:type="spellStart"/>
      <w:r w:rsidR="00370643" w:rsidRPr="00370643">
        <w:rPr>
          <w:sz w:val="20"/>
          <w:szCs w:val="20"/>
        </w:rPr>
        <w:t>cART</w:t>
      </w:r>
      <w:proofErr w:type="spellEnd"/>
      <w:r w:rsidR="00C16C04">
        <w:rPr>
          <w:sz w:val="20"/>
          <w:szCs w:val="20"/>
        </w:rPr>
        <w:t xml:space="preserve"> drugs</w:t>
      </w:r>
      <w:r w:rsidR="00370643" w:rsidRPr="00370643">
        <w:rPr>
          <w:sz w:val="20"/>
          <w:szCs w:val="20"/>
        </w:rPr>
        <w:t>. Cells were exposed to first-line (</w:t>
      </w:r>
      <w:proofErr w:type="spellStart"/>
      <w:r w:rsidR="00370643" w:rsidRPr="00370643">
        <w:rPr>
          <w:sz w:val="20"/>
          <w:szCs w:val="20"/>
        </w:rPr>
        <w:t>Atripla</w:t>
      </w:r>
      <w:proofErr w:type="spellEnd"/>
      <w:r w:rsidR="00370643" w:rsidRPr="00370643">
        <w:rPr>
          <w:sz w:val="20"/>
          <w:szCs w:val="20"/>
        </w:rPr>
        <w:t xml:space="preserve">: tenofovir 0.983–9.83 µM, emtricitabine 0.809–8.09 µM, efavirenz 0.19–1.09 µM) and second-line (Aluvia: zidovudine 1.12 µM, lamivudine 0.65–6.5 µM, lopinavir 0.32–3.2 µM, ritonavir 0.69–6.9 µM) </w:t>
      </w:r>
      <w:proofErr w:type="spellStart"/>
      <w:r w:rsidR="00370643" w:rsidRPr="00370643">
        <w:rPr>
          <w:sz w:val="20"/>
          <w:szCs w:val="20"/>
        </w:rPr>
        <w:t>cART</w:t>
      </w:r>
      <w:proofErr w:type="spellEnd"/>
      <w:r w:rsidR="00370643" w:rsidRPr="00370643">
        <w:rPr>
          <w:sz w:val="20"/>
          <w:szCs w:val="20"/>
        </w:rPr>
        <w:t xml:space="preserve"> components for 24, 48, 72, and 96 hours. Mitochondrial DNA (</w:t>
      </w:r>
      <w:proofErr w:type="spellStart"/>
      <w:r w:rsidR="00370643" w:rsidRPr="00370643">
        <w:rPr>
          <w:sz w:val="20"/>
          <w:szCs w:val="20"/>
        </w:rPr>
        <w:t>mtDNA</w:t>
      </w:r>
      <w:proofErr w:type="spellEnd"/>
      <w:r w:rsidR="00370643" w:rsidRPr="00370643">
        <w:rPr>
          <w:sz w:val="20"/>
          <w:szCs w:val="20"/>
        </w:rPr>
        <w:t xml:space="preserve">) content was quantified via quantitative PCR (qPCR) by calculating the ratio of mitochondrial NADH dehydrogenase 2 (mtND2) to 18S rRNA. Apoptotic activity was evaluated using Caspase-Glo® assays for caspase-3 and caspase-9. Cell cycle distribution was </w:t>
      </w:r>
      <w:r w:rsidR="00663E79" w:rsidRPr="00370643">
        <w:rPr>
          <w:sz w:val="20"/>
          <w:szCs w:val="20"/>
        </w:rPr>
        <w:t>analysed</w:t>
      </w:r>
      <w:r w:rsidR="00370643" w:rsidRPr="00370643">
        <w:rPr>
          <w:sz w:val="20"/>
          <w:szCs w:val="20"/>
        </w:rPr>
        <w:t xml:space="preserve"> through flow cytometry, while the expression levels of checkpoint kinases Chk1 and Chk2 were determined by Western blotting.</w:t>
      </w:r>
    </w:p>
    <w:p w14:paraId="7341CED6" w14:textId="476DCF9B" w:rsidR="00014F19" w:rsidRPr="00B34351" w:rsidRDefault="00014F19" w:rsidP="00B34351">
      <w:pPr>
        <w:spacing w:line="240" w:lineRule="auto"/>
        <w:jc w:val="both"/>
        <w:rPr>
          <w:sz w:val="20"/>
          <w:szCs w:val="20"/>
        </w:rPr>
      </w:pPr>
      <w:r w:rsidRPr="00B34351">
        <w:rPr>
          <w:b/>
          <w:bCs/>
          <w:sz w:val="20"/>
          <w:szCs w:val="20"/>
        </w:rPr>
        <w:t>Results:</w:t>
      </w:r>
      <w:r w:rsidRPr="00B34351">
        <w:rPr>
          <w:sz w:val="20"/>
          <w:szCs w:val="20"/>
        </w:rPr>
        <w:t xml:space="preserve"> </w:t>
      </w:r>
      <w:r w:rsidRPr="00B34351">
        <w:rPr>
          <w:sz w:val="20"/>
          <w:szCs w:val="20"/>
        </w:rPr>
        <w:t xml:space="preserve">Exposure to both first- and second-line </w:t>
      </w:r>
      <w:proofErr w:type="spellStart"/>
      <w:r w:rsidRPr="00B34351">
        <w:rPr>
          <w:sz w:val="20"/>
          <w:szCs w:val="20"/>
        </w:rPr>
        <w:t>cART</w:t>
      </w:r>
      <w:proofErr w:type="spellEnd"/>
      <w:r w:rsidRPr="00B34351">
        <w:rPr>
          <w:sz w:val="20"/>
          <w:szCs w:val="20"/>
        </w:rPr>
        <w:t xml:space="preserve"> drugs resulted in a significant, dose-dependent reduction in </w:t>
      </w:r>
      <w:proofErr w:type="spellStart"/>
      <w:r w:rsidRPr="00B34351">
        <w:rPr>
          <w:sz w:val="20"/>
          <w:szCs w:val="20"/>
        </w:rPr>
        <w:t>mtDNA</w:t>
      </w:r>
      <w:proofErr w:type="spellEnd"/>
      <w:r w:rsidRPr="00B34351">
        <w:rPr>
          <w:sz w:val="20"/>
          <w:szCs w:val="20"/>
        </w:rPr>
        <w:t xml:space="preserve"> content. Cell cycle analysis revealed arrest at specific checkpoints, accompanied by a downregulation of checkpoint kinases Chk1 and Chk2. Additionally, caspase-3 and -9 activities were significantly elevated in treated cells compared to untreated controls, indicating induction of apoptosis.</w:t>
      </w:r>
    </w:p>
    <w:p w14:paraId="2ADF258F" w14:textId="4791B82E" w:rsidR="00014F19" w:rsidRDefault="00014F19" w:rsidP="00B34351">
      <w:pPr>
        <w:spacing w:line="240" w:lineRule="auto"/>
        <w:jc w:val="both"/>
        <w:rPr>
          <w:sz w:val="20"/>
          <w:szCs w:val="20"/>
        </w:rPr>
      </w:pPr>
      <w:r w:rsidRPr="00B34351">
        <w:rPr>
          <w:b/>
          <w:bCs/>
          <w:sz w:val="20"/>
          <w:szCs w:val="20"/>
        </w:rPr>
        <w:t>Discussion</w:t>
      </w:r>
      <w:r w:rsidRPr="00B34351">
        <w:rPr>
          <w:b/>
          <w:bCs/>
          <w:sz w:val="20"/>
          <w:szCs w:val="20"/>
        </w:rPr>
        <w:t>:</w:t>
      </w:r>
      <w:r w:rsidRPr="00B34351">
        <w:rPr>
          <w:sz w:val="20"/>
          <w:szCs w:val="20"/>
        </w:rPr>
        <w:t xml:space="preserve"> </w:t>
      </w:r>
      <w:r w:rsidR="00A119B3">
        <w:rPr>
          <w:sz w:val="20"/>
          <w:szCs w:val="20"/>
        </w:rPr>
        <w:t xml:space="preserve">Our findings demonstrated that </w:t>
      </w:r>
      <w:proofErr w:type="spellStart"/>
      <w:r w:rsidRPr="00B34351">
        <w:rPr>
          <w:sz w:val="20"/>
          <w:szCs w:val="20"/>
        </w:rPr>
        <w:t>cART</w:t>
      </w:r>
      <w:proofErr w:type="spellEnd"/>
      <w:r w:rsidRPr="00B34351">
        <w:rPr>
          <w:sz w:val="20"/>
          <w:szCs w:val="20"/>
        </w:rPr>
        <w:t xml:space="preserve"> exposure disrupts mitochondrial homeostasis, impairs cell cycle progression, downregulates checkpoint kinase </w:t>
      </w:r>
      <w:r w:rsidR="00663E79" w:rsidRPr="00B34351">
        <w:rPr>
          <w:sz w:val="20"/>
          <w:szCs w:val="20"/>
        </w:rPr>
        <w:t>signalling</w:t>
      </w:r>
      <w:r w:rsidRPr="00B34351">
        <w:rPr>
          <w:sz w:val="20"/>
          <w:szCs w:val="20"/>
        </w:rPr>
        <w:t>, and promotes apoptosis in trophoblast cells. These molecular perturbations may underlie placental insufficiency and contribute to the increased incidence of adverse pregnancy outcomes observed in HIV-positive women receiving antiretroviral therapy.</w:t>
      </w:r>
      <w:bookmarkEnd w:id="0"/>
    </w:p>
    <w:p w14:paraId="638642CA" w14:textId="77777777" w:rsidR="0085222E" w:rsidRDefault="0085222E" w:rsidP="00B34351">
      <w:pPr>
        <w:spacing w:line="240" w:lineRule="auto"/>
        <w:jc w:val="both"/>
        <w:rPr>
          <w:sz w:val="20"/>
          <w:szCs w:val="20"/>
        </w:rPr>
      </w:pPr>
    </w:p>
    <w:p w14:paraId="627A65FF" w14:textId="05B3942A" w:rsidR="0085222E" w:rsidRPr="00A119B3" w:rsidRDefault="0085222E" w:rsidP="00B34351">
      <w:pPr>
        <w:spacing w:line="240" w:lineRule="auto"/>
        <w:jc w:val="both"/>
        <w:rPr>
          <w:b/>
          <w:bCs/>
          <w:sz w:val="20"/>
          <w:szCs w:val="20"/>
        </w:rPr>
      </w:pPr>
      <w:r w:rsidRPr="00A119B3">
        <w:rPr>
          <w:b/>
          <w:bCs/>
          <w:sz w:val="20"/>
          <w:szCs w:val="20"/>
        </w:rPr>
        <w:t xml:space="preserve">References </w:t>
      </w:r>
    </w:p>
    <w:p w14:paraId="7D16C644" w14:textId="7650EDCD" w:rsidR="002E5EFC" w:rsidRDefault="002E5EFC" w:rsidP="0085222E">
      <w:pPr>
        <w:spacing w:line="240" w:lineRule="auto"/>
        <w:jc w:val="both"/>
        <w:rPr>
          <w:sz w:val="20"/>
          <w:szCs w:val="20"/>
        </w:rPr>
      </w:pPr>
      <w:bookmarkStart w:id="2" w:name="_Hlk208774522"/>
      <w:proofErr w:type="spellStart"/>
      <w:r w:rsidRPr="002E5EFC">
        <w:rPr>
          <w:sz w:val="20"/>
          <w:szCs w:val="20"/>
        </w:rPr>
        <w:t>Asferie</w:t>
      </w:r>
      <w:bookmarkEnd w:id="2"/>
      <w:proofErr w:type="spellEnd"/>
      <w:r w:rsidRPr="002E5EFC">
        <w:rPr>
          <w:sz w:val="20"/>
          <w:szCs w:val="20"/>
        </w:rPr>
        <w:t xml:space="preserve"> </w:t>
      </w:r>
      <w:r w:rsidR="00A119B3">
        <w:rPr>
          <w:sz w:val="20"/>
          <w:szCs w:val="20"/>
        </w:rPr>
        <w:t xml:space="preserve">WN </w:t>
      </w:r>
      <w:r w:rsidRPr="002E5EFC">
        <w:rPr>
          <w:sz w:val="20"/>
          <w:szCs w:val="20"/>
        </w:rPr>
        <w:t>et al</w:t>
      </w:r>
      <w:r w:rsidR="00A119B3">
        <w:rPr>
          <w:sz w:val="20"/>
          <w:szCs w:val="20"/>
        </w:rPr>
        <w:t xml:space="preserve"> I2025)</w:t>
      </w:r>
      <w:r w:rsidRPr="002E5EFC">
        <w:rPr>
          <w:sz w:val="20"/>
          <w:szCs w:val="20"/>
        </w:rPr>
        <w:t xml:space="preserve"> BMC Public Health</w:t>
      </w:r>
      <w:r w:rsidR="00A119B3" w:rsidRPr="002E5EFC">
        <w:rPr>
          <w:sz w:val="20"/>
          <w:szCs w:val="20"/>
        </w:rPr>
        <w:t xml:space="preserve"> 25:459</w:t>
      </w:r>
    </w:p>
    <w:p w14:paraId="444ABC84" w14:textId="4B5FA915" w:rsidR="00A119B3" w:rsidRDefault="00A119B3" w:rsidP="0085222E">
      <w:pPr>
        <w:spacing w:line="240" w:lineRule="auto"/>
        <w:jc w:val="both"/>
        <w:rPr>
          <w:sz w:val="20"/>
          <w:szCs w:val="20"/>
        </w:rPr>
      </w:pPr>
      <w:r w:rsidRPr="00A119B3">
        <w:rPr>
          <w:sz w:val="20"/>
          <w:szCs w:val="20"/>
        </w:rPr>
        <w:t>Barrett HL et al</w:t>
      </w:r>
      <w:r w:rsidR="00361201">
        <w:rPr>
          <w:sz w:val="20"/>
          <w:szCs w:val="20"/>
        </w:rPr>
        <w:t xml:space="preserve"> (2014) </w:t>
      </w:r>
      <w:r w:rsidRPr="00A119B3">
        <w:rPr>
          <w:sz w:val="20"/>
          <w:szCs w:val="20"/>
        </w:rPr>
        <w:t>Placenta</w:t>
      </w:r>
      <w:r w:rsidR="00361201">
        <w:rPr>
          <w:sz w:val="20"/>
          <w:szCs w:val="20"/>
        </w:rPr>
        <w:t xml:space="preserve"> </w:t>
      </w:r>
      <w:r w:rsidRPr="00A119B3">
        <w:rPr>
          <w:sz w:val="20"/>
          <w:szCs w:val="20"/>
        </w:rPr>
        <w:t>35(12):1039–1045.</w:t>
      </w:r>
    </w:p>
    <w:p w14:paraId="3A8854AE" w14:textId="2BD268A0" w:rsidR="0085222E" w:rsidRDefault="002E5EFC" w:rsidP="0085222E">
      <w:pPr>
        <w:spacing w:line="240" w:lineRule="auto"/>
        <w:jc w:val="both"/>
        <w:rPr>
          <w:sz w:val="20"/>
          <w:szCs w:val="20"/>
        </w:rPr>
      </w:pPr>
      <w:bookmarkStart w:id="3" w:name="_Hlk208774568"/>
      <w:r w:rsidRPr="002E5EFC">
        <w:rPr>
          <w:sz w:val="20"/>
          <w:szCs w:val="20"/>
        </w:rPr>
        <w:t>Duffy</w:t>
      </w:r>
      <w:bookmarkEnd w:id="3"/>
      <w:r w:rsidRPr="002E5EFC">
        <w:rPr>
          <w:sz w:val="20"/>
          <w:szCs w:val="20"/>
        </w:rPr>
        <w:t xml:space="preserve"> CR</w:t>
      </w:r>
      <w:r w:rsidR="00361201">
        <w:rPr>
          <w:sz w:val="20"/>
          <w:szCs w:val="20"/>
        </w:rPr>
        <w:t xml:space="preserve"> et al (2024)</w:t>
      </w:r>
      <w:r w:rsidRPr="002E5EFC">
        <w:rPr>
          <w:sz w:val="20"/>
          <w:szCs w:val="20"/>
        </w:rPr>
        <w:t xml:space="preserve"> AIDS</w:t>
      </w:r>
      <w:r w:rsidR="00361201">
        <w:rPr>
          <w:sz w:val="20"/>
          <w:szCs w:val="20"/>
        </w:rPr>
        <w:t xml:space="preserve"> </w:t>
      </w:r>
      <w:r w:rsidRPr="002E5EFC">
        <w:rPr>
          <w:sz w:val="20"/>
          <w:szCs w:val="20"/>
        </w:rPr>
        <w:t>38(12):1749</w:t>
      </w:r>
      <w:r w:rsidRPr="002E5EFC">
        <w:rPr>
          <w:rFonts w:ascii="Cambria Math" w:hAnsi="Cambria Math" w:cs="Cambria Math"/>
          <w:sz w:val="20"/>
          <w:szCs w:val="20"/>
        </w:rPr>
        <w:t>‑</w:t>
      </w:r>
      <w:r w:rsidRPr="002E5EFC">
        <w:rPr>
          <w:sz w:val="20"/>
          <w:szCs w:val="20"/>
        </w:rPr>
        <w:t>1757</w:t>
      </w:r>
    </w:p>
    <w:p w14:paraId="747519E3" w14:textId="0B7B4FB0" w:rsidR="00A119B3" w:rsidRDefault="00A119B3" w:rsidP="0085222E">
      <w:pPr>
        <w:spacing w:line="240" w:lineRule="auto"/>
        <w:jc w:val="both"/>
        <w:rPr>
          <w:sz w:val="20"/>
          <w:szCs w:val="20"/>
        </w:rPr>
      </w:pPr>
      <w:r w:rsidRPr="00A119B3">
        <w:rPr>
          <w:sz w:val="20"/>
          <w:szCs w:val="20"/>
        </w:rPr>
        <w:t>Kalk E, et al</w:t>
      </w:r>
      <w:r w:rsidR="00361201">
        <w:rPr>
          <w:sz w:val="20"/>
          <w:szCs w:val="20"/>
        </w:rPr>
        <w:t xml:space="preserve"> (2020)</w:t>
      </w:r>
      <w:r w:rsidRPr="00A119B3">
        <w:rPr>
          <w:sz w:val="20"/>
          <w:szCs w:val="20"/>
        </w:rPr>
        <w:t xml:space="preserve"> J Infect Dis. 221(4):587–596</w:t>
      </w:r>
    </w:p>
    <w:p w14:paraId="5FE197FC" w14:textId="6543E79E" w:rsidR="00A119B3" w:rsidRDefault="002E5EFC" w:rsidP="002E5EFC">
      <w:pPr>
        <w:spacing w:line="240" w:lineRule="auto"/>
        <w:jc w:val="both"/>
        <w:rPr>
          <w:sz w:val="20"/>
          <w:szCs w:val="20"/>
        </w:rPr>
      </w:pPr>
      <w:proofErr w:type="spellStart"/>
      <w:r w:rsidRPr="002E5EFC">
        <w:rPr>
          <w:sz w:val="20"/>
          <w:szCs w:val="20"/>
        </w:rPr>
        <w:t>Mtintsilana</w:t>
      </w:r>
      <w:proofErr w:type="spellEnd"/>
      <w:r w:rsidRPr="002E5EFC">
        <w:rPr>
          <w:sz w:val="20"/>
          <w:szCs w:val="20"/>
        </w:rPr>
        <w:t xml:space="preserve"> A</w:t>
      </w:r>
      <w:r w:rsidR="00361201">
        <w:rPr>
          <w:sz w:val="20"/>
          <w:szCs w:val="20"/>
        </w:rPr>
        <w:t xml:space="preserve"> et al (2023)</w:t>
      </w:r>
      <w:r w:rsidRPr="002E5EFC">
        <w:rPr>
          <w:sz w:val="20"/>
          <w:szCs w:val="20"/>
        </w:rPr>
        <w:t xml:space="preserve"> BMC Pregnancy and Childbirth. 2023;23(1):415</w:t>
      </w:r>
      <w:bookmarkEnd w:id="1"/>
      <w:r w:rsidRPr="002E5EFC">
        <w:rPr>
          <w:sz w:val="20"/>
          <w:szCs w:val="20"/>
        </w:rPr>
        <w:t>.</w:t>
      </w:r>
      <w:bookmarkStart w:id="4" w:name="_Hlk208774819"/>
    </w:p>
    <w:bookmarkEnd w:id="4"/>
    <w:p w14:paraId="31F062F4" w14:textId="1049CE07" w:rsidR="002E5EFC" w:rsidRDefault="002E5EFC" w:rsidP="002E5EFC">
      <w:pPr>
        <w:spacing w:line="240" w:lineRule="auto"/>
        <w:jc w:val="both"/>
        <w:rPr>
          <w:sz w:val="20"/>
          <w:szCs w:val="20"/>
        </w:rPr>
      </w:pPr>
    </w:p>
    <w:p w14:paraId="317C9B36" w14:textId="77777777" w:rsidR="002E5EFC" w:rsidRDefault="002E5EFC" w:rsidP="0085222E">
      <w:pPr>
        <w:spacing w:line="240" w:lineRule="auto"/>
        <w:jc w:val="both"/>
        <w:rPr>
          <w:sz w:val="20"/>
          <w:szCs w:val="20"/>
        </w:rPr>
      </w:pPr>
    </w:p>
    <w:p w14:paraId="08CADC73" w14:textId="77777777" w:rsidR="002E5EFC" w:rsidRPr="00B34351" w:rsidRDefault="002E5EFC" w:rsidP="0085222E">
      <w:pPr>
        <w:spacing w:line="240" w:lineRule="auto"/>
        <w:jc w:val="both"/>
        <w:rPr>
          <w:sz w:val="20"/>
          <w:szCs w:val="20"/>
        </w:rPr>
      </w:pPr>
    </w:p>
    <w:sectPr w:rsidR="002E5EFC" w:rsidRPr="00B34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47"/>
    <w:rsid w:val="00014F19"/>
    <w:rsid w:val="000F02BD"/>
    <w:rsid w:val="00213B66"/>
    <w:rsid w:val="0026020E"/>
    <w:rsid w:val="002E5EFC"/>
    <w:rsid w:val="003177A9"/>
    <w:rsid w:val="0032635A"/>
    <w:rsid w:val="00361201"/>
    <w:rsid w:val="00370643"/>
    <w:rsid w:val="003A1F79"/>
    <w:rsid w:val="00473E3F"/>
    <w:rsid w:val="005F5F79"/>
    <w:rsid w:val="005F6B93"/>
    <w:rsid w:val="00663E79"/>
    <w:rsid w:val="007319FA"/>
    <w:rsid w:val="0085222E"/>
    <w:rsid w:val="00993602"/>
    <w:rsid w:val="009B37CF"/>
    <w:rsid w:val="00A119B3"/>
    <w:rsid w:val="00B34351"/>
    <w:rsid w:val="00C16C04"/>
    <w:rsid w:val="00DA23CE"/>
    <w:rsid w:val="00E775B3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26A78"/>
  <w15:chartTrackingRefBased/>
  <w15:docId w15:val="{14919BDA-F63C-4B29-9B5B-9072CA0C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Nzuza, Sanelisiwe (Dr) (Summerstrand Campus South )</dc:creator>
  <cp:keywords/>
  <dc:description/>
  <cp:lastModifiedBy>Nzuza, Sanelisiwe (Dr) (Summerstrand Campus South )</cp:lastModifiedBy>
  <cp:revision>3</cp:revision>
  <dcterms:created xsi:type="dcterms:W3CDTF">2025-09-14T23:23:00Z</dcterms:created>
  <dcterms:modified xsi:type="dcterms:W3CDTF">2025-09-14T23:25:00Z</dcterms:modified>
</cp:coreProperties>
</file>