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C777" w14:textId="64CAD3DB" w:rsidR="00711813" w:rsidRPr="004E5450" w:rsidRDefault="008F2A50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Analysis in vitro </w:t>
      </w:r>
      <w:r w:rsidR="00A02B38">
        <w:rPr>
          <w:rFonts w:ascii="Calibri" w:hAnsi="Calibri" w:cs="Calibri"/>
          <w:b/>
          <w:sz w:val="20"/>
          <w:szCs w:val="20"/>
          <w:lang w:val="en-AU"/>
        </w:rPr>
        <w:t>extract of g</w:t>
      </w:r>
      <w:r w:rsidR="00B93F29" w:rsidRPr="00B93F29">
        <w:rPr>
          <w:rFonts w:ascii="Calibri" w:hAnsi="Calibri" w:cs="Calibri"/>
          <w:b/>
          <w:sz w:val="20"/>
          <w:szCs w:val="20"/>
          <w:lang w:val="en-AU"/>
        </w:rPr>
        <w:t>reen tea, turmeric, and cinnamon as antidiabetic agents</w:t>
      </w:r>
    </w:p>
    <w:p w14:paraId="3E38E40A" w14:textId="1FEC7844" w:rsidR="00711813" w:rsidRPr="004E5450" w:rsidRDefault="0071447B" w:rsidP="00684F12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Trisni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U Dewi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684F12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Made A</w:t>
      </w:r>
      <w:r w:rsidR="00684F12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>, Mega S</w:t>
      </w:r>
      <w:r w:rsidR="00684F12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8F2A50">
        <w:rPr>
          <w:rFonts w:ascii="Calibri" w:hAnsi="Calibri" w:cs="Calibri"/>
          <w:sz w:val="20"/>
          <w:szCs w:val="20"/>
          <w:vertAlign w:val="superscript"/>
          <w:lang w:val="en-AU"/>
        </w:rPr>
        <w:t>,5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Irmanida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B</w:t>
      </w:r>
      <w:r w:rsidR="00684F12">
        <w:rPr>
          <w:rFonts w:ascii="Calibri" w:hAnsi="Calibri" w:cs="Calibri"/>
          <w:sz w:val="20"/>
          <w:szCs w:val="20"/>
          <w:vertAlign w:val="superscript"/>
          <w:lang w:val="en-AU"/>
        </w:rPr>
        <w:t>4,5</w:t>
      </w:r>
      <w:r>
        <w:rPr>
          <w:rFonts w:ascii="Calibri" w:hAnsi="Calibri" w:cs="Calibri"/>
          <w:sz w:val="20"/>
          <w:szCs w:val="20"/>
          <w:lang w:val="en-AU"/>
        </w:rPr>
        <w:t>, Vivian S</w:t>
      </w:r>
      <w:r w:rsidR="008F2A50">
        <w:rPr>
          <w:rFonts w:ascii="Calibri" w:hAnsi="Calibri" w:cs="Calibri"/>
          <w:sz w:val="20"/>
          <w:szCs w:val="20"/>
          <w:vertAlign w:val="superscript"/>
          <w:lang w:val="en-AU"/>
        </w:rPr>
        <w:t>6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4E41E2" w:rsidRPr="004E41E2">
        <w:rPr>
          <w:rFonts w:ascii="Calibri" w:hAnsi="Calibri" w:cs="Calibri"/>
          <w:sz w:val="20"/>
          <w:szCs w:val="20"/>
          <w:lang w:val="en-AU"/>
        </w:rPr>
        <w:t>Utami</w:t>
      </w:r>
      <w:proofErr w:type="spellEnd"/>
      <w:r w:rsidR="004E41E2" w:rsidRPr="004E41E2">
        <w:rPr>
          <w:rFonts w:ascii="Calibri" w:hAnsi="Calibri" w:cs="Calibri"/>
          <w:sz w:val="20"/>
          <w:szCs w:val="20"/>
          <w:lang w:val="en-AU"/>
        </w:rPr>
        <w:t xml:space="preserve"> D Syafitri</w:t>
      </w:r>
      <w:r w:rsidR="004E41E2" w:rsidRPr="004E41E2">
        <w:rPr>
          <w:rFonts w:ascii="Calibri" w:hAnsi="Calibri" w:cs="Calibri"/>
          <w:sz w:val="20"/>
          <w:szCs w:val="20"/>
          <w:vertAlign w:val="superscript"/>
          <w:lang w:val="en-AU"/>
        </w:rPr>
        <w:t>7</w:t>
      </w:r>
      <w:r w:rsidR="004E41E2" w:rsidRPr="004E41E2">
        <w:rPr>
          <w:rFonts w:ascii="Calibri" w:hAnsi="Calibri" w:cs="Calibri"/>
          <w:sz w:val="20"/>
          <w:szCs w:val="20"/>
          <w:lang w:val="en-AU"/>
        </w:rPr>
        <w:t>.</w:t>
      </w:r>
      <w:r w:rsidRPr="0071447B">
        <w:rPr>
          <w:rFonts w:ascii="Calibri" w:hAnsi="Calibri" w:cs="Calibri"/>
          <w:sz w:val="20"/>
          <w:szCs w:val="20"/>
          <w:lang w:val="en-AU"/>
        </w:rPr>
        <w:t>Fac</w:t>
      </w:r>
      <w:r w:rsidR="00DF3244">
        <w:rPr>
          <w:rFonts w:ascii="Calibri" w:hAnsi="Calibri" w:cs="Calibri"/>
          <w:sz w:val="20"/>
          <w:szCs w:val="20"/>
          <w:lang w:val="en-AU"/>
        </w:rPr>
        <w:t>ulty</w:t>
      </w:r>
      <w:r w:rsidRPr="0071447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84F12">
        <w:rPr>
          <w:rFonts w:ascii="Calibri" w:hAnsi="Calibri" w:cs="Calibri"/>
          <w:sz w:val="20"/>
          <w:szCs w:val="20"/>
          <w:lang w:val="en-AU"/>
        </w:rPr>
        <w:t xml:space="preserve">of </w:t>
      </w:r>
      <w:r w:rsidRPr="0071447B">
        <w:rPr>
          <w:rFonts w:ascii="Calibri" w:hAnsi="Calibri" w:cs="Calibri"/>
          <w:sz w:val="20"/>
          <w:szCs w:val="20"/>
          <w:lang w:val="en-AU"/>
        </w:rPr>
        <w:t>Medicine,</w:t>
      </w:r>
      <w:r w:rsidR="00DF3244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71447B">
        <w:rPr>
          <w:rFonts w:ascii="Calibri" w:hAnsi="Calibri" w:cs="Calibri"/>
          <w:sz w:val="20"/>
          <w:szCs w:val="20"/>
          <w:lang w:val="en-AU"/>
        </w:rPr>
        <w:t>Uni</w:t>
      </w:r>
      <w:r w:rsidR="00A02B38">
        <w:rPr>
          <w:rFonts w:ascii="Calibri" w:hAnsi="Calibri" w:cs="Calibri"/>
          <w:sz w:val="20"/>
          <w:szCs w:val="20"/>
          <w:lang w:val="en-AU"/>
        </w:rPr>
        <w:t>v</w:t>
      </w:r>
      <w:r w:rsidR="00DF3244">
        <w:rPr>
          <w:rFonts w:ascii="Calibri" w:hAnsi="Calibri" w:cs="Calibri"/>
          <w:sz w:val="20"/>
          <w:szCs w:val="20"/>
          <w:lang w:val="en-AU"/>
        </w:rPr>
        <w:t xml:space="preserve"> of IPB</w:t>
      </w:r>
      <w:r w:rsidRPr="0071447B">
        <w:rPr>
          <w:rFonts w:ascii="Calibri" w:hAnsi="Calibri" w:cs="Calibri"/>
          <w:sz w:val="20"/>
          <w:szCs w:val="20"/>
          <w:lang w:val="en-AU"/>
        </w:rPr>
        <w:t>, Bogor, Ind</w:t>
      </w:r>
      <w:r w:rsidR="00DF3244">
        <w:rPr>
          <w:rFonts w:ascii="Calibri" w:hAnsi="Calibri" w:cs="Calibri"/>
          <w:sz w:val="20"/>
          <w:szCs w:val="20"/>
          <w:lang w:val="en-AU"/>
        </w:rPr>
        <w:t>onesia</w:t>
      </w:r>
      <w:r w:rsidR="00684F12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684F12">
        <w:rPr>
          <w:rFonts w:ascii="Calibri" w:hAnsi="Calibri" w:cs="Calibri"/>
          <w:sz w:val="20"/>
          <w:szCs w:val="20"/>
          <w:lang w:val="en-AU"/>
        </w:rPr>
        <w:t xml:space="preserve">Bakti </w:t>
      </w:r>
      <w:proofErr w:type="spellStart"/>
      <w:r w:rsidR="00684F12">
        <w:rPr>
          <w:rFonts w:ascii="Calibri" w:hAnsi="Calibri" w:cs="Calibri"/>
          <w:sz w:val="20"/>
          <w:szCs w:val="20"/>
          <w:lang w:val="en-AU"/>
        </w:rPr>
        <w:t>Padjaj</w:t>
      </w:r>
      <w:r w:rsidR="00A02B38">
        <w:rPr>
          <w:rFonts w:ascii="Calibri" w:hAnsi="Calibri" w:cs="Calibri"/>
          <w:sz w:val="20"/>
          <w:szCs w:val="20"/>
          <w:lang w:val="en-AU"/>
        </w:rPr>
        <w:t>aran</w:t>
      </w:r>
      <w:proofErr w:type="spellEnd"/>
      <w:r w:rsidR="00684F12" w:rsidRPr="00684F12">
        <w:rPr>
          <w:rFonts w:ascii="Calibri" w:hAnsi="Calibri" w:cs="Calibri"/>
          <w:sz w:val="20"/>
          <w:szCs w:val="20"/>
          <w:lang w:val="en-AU"/>
        </w:rPr>
        <w:t xml:space="preserve"> Hosp, </w:t>
      </w:r>
      <w:proofErr w:type="spellStart"/>
      <w:r w:rsidR="00684F12" w:rsidRPr="00684F12">
        <w:rPr>
          <w:rFonts w:ascii="Calibri" w:hAnsi="Calibri" w:cs="Calibri"/>
          <w:sz w:val="20"/>
          <w:szCs w:val="20"/>
          <w:lang w:val="en-AU"/>
        </w:rPr>
        <w:t>Cib</w:t>
      </w:r>
      <w:proofErr w:type="spellEnd"/>
      <w:r w:rsidR="00684F12">
        <w:rPr>
          <w:rFonts w:ascii="Calibri" w:hAnsi="Calibri" w:cs="Calibri"/>
          <w:sz w:val="20"/>
          <w:szCs w:val="20"/>
          <w:lang w:val="en-AU"/>
        </w:rPr>
        <w:t>, West Java</w:t>
      </w:r>
      <w:r w:rsidR="00684F1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684F12">
        <w:rPr>
          <w:rFonts w:ascii="Calibri" w:hAnsi="Calibri" w:cs="Calibri"/>
          <w:sz w:val="20"/>
          <w:szCs w:val="20"/>
          <w:lang w:val="en-AU"/>
        </w:rPr>
        <w:t>; Dep</w:t>
      </w:r>
      <w:r w:rsidR="00DF3244">
        <w:rPr>
          <w:rFonts w:ascii="Calibri" w:hAnsi="Calibri" w:cs="Calibri"/>
          <w:sz w:val="20"/>
          <w:szCs w:val="20"/>
          <w:lang w:val="en-AU"/>
        </w:rPr>
        <w:t>t</w:t>
      </w:r>
      <w:r w:rsidR="00684F12" w:rsidRPr="00684F12">
        <w:rPr>
          <w:rFonts w:ascii="Calibri" w:hAnsi="Calibri" w:cs="Calibri"/>
          <w:sz w:val="20"/>
          <w:szCs w:val="20"/>
          <w:lang w:val="en-AU"/>
        </w:rPr>
        <w:t xml:space="preserve"> of </w:t>
      </w:r>
      <w:r w:rsidR="00684F12">
        <w:rPr>
          <w:rFonts w:ascii="Calibri" w:hAnsi="Calibri" w:cs="Calibri"/>
          <w:sz w:val="20"/>
          <w:szCs w:val="20"/>
          <w:lang w:val="en-AU"/>
        </w:rPr>
        <w:t>Bioc</w:t>
      </w:r>
      <w:r w:rsidR="00684F12" w:rsidRPr="00684F12">
        <w:rPr>
          <w:rFonts w:ascii="Calibri" w:hAnsi="Calibri" w:cs="Calibri"/>
          <w:sz w:val="20"/>
          <w:szCs w:val="20"/>
          <w:lang w:val="en-AU"/>
        </w:rPr>
        <w:t>hemistry, Fa</w:t>
      </w:r>
      <w:r w:rsidR="00DF3244">
        <w:rPr>
          <w:rFonts w:ascii="Calibri" w:hAnsi="Calibri" w:cs="Calibri"/>
          <w:sz w:val="20"/>
          <w:szCs w:val="20"/>
          <w:lang w:val="en-AU"/>
        </w:rPr>
        <w:t xml:space="preserve">culty </w:t>
      </w:r>
      <w:r w:rsidR="00684F12" w:rsidRPr="00684F12">
        <w:rPr>
          <w:rFonts w:ascii="Calibri" w:hAnsi="Calibri" w:cs="Calibri"/>
          <w:sz w:val="20"/>
          <w:szCs w:val="20"/>
          <w:lang w:val="en-AU"/>
        </w:rPr>
        <w:t>of Math and Natural Sciences, Univ</w:t>
      </w:r>
      <w:r w:rsidR="00DF3244">
        <w:rPr>
          <w:rFonts w:ascii="Calibri" w:hAnsi="Calibri" w:cs="Calibri"/>
          <w:sz w:val="20"/>
          <w:szCs w:val="20"/>
          <w:lang w:val="en-AU"/>
        </w:rPr>
        <w:t xml:space="preserve"> of IPB</w:t>
      </w:r>
      <w:r w:rsidR="00684F12" w:rsidRPr="00684F12">
        <w:rPr>
          <w:rFonts w:ascii="Calibri" w:hAnsi="Calibri" w:cs="Calibri"/>
          <w:sz w:val="20"/>
          <w:szCs w:val="20"/>
          <w:lang w:val="en-AU"/>
        </w:rPr>
        <w:t>, Bogor,</w:t>
      </w:r>
      <w:r w:rsidR="00684F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84F12" w:rsidRPr="00684F12">
        <w:rPr>
          <w:rFonts w:ascii="Calibri" w:hAnsi="Calibri" w:cs="Calibri"/>
          <w:sz w:val="20"/>
          <w:szCs w:val="20"/>
          <w:lang w:val="en-AU"/>
        </w:rPr>
        <w:t>Ind</w:t>
      </w:r>
      <w:r w:rsidR="00DF3244">
        <w:rPr>
          <w:rFonts w:ascii="Calibri" w:hAnsi="Calibri" w:cs="Calibri"/>
          <w:sz w:val="20"/>
          <w:szCs w:val="20"/>
          <w:lang w:val="en-AU"/>
        </w:rPr>
        <w:t>onesia</w:t>
      </w:r>
      <w:r w:rsidR="00684F12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84F12">
        <w:rPr>
          <w:rFonts w:ascii="Calibri" w:hAnsi="Calibri" w:cs="Calibri"/>
          <w:sz w:val="20"/>
          <w:szCs w:val="20"/>
          <w:lang w:val="en-AU"/>
        </w:rPr>
        <w:t>; Dep</w:t>
      </w:r>
      <w:r w:rsidR="00DF3244">
        <w:rPr>
          <w:rFonts w:ascii="Calibri" w:hAnsi="Calibri" w:cs="Calibri"/>
          <w:sz w:val="20"/>
          <w:szCs w:val="20"/>
          <w:lang w:val="en-AU"/>
        </w:rPr>
        <w:t>t</w:t>
      </w:r>
      <w:r w:rsidR="00684F12" w:rsidRPr="00684F12">
        <w:rPr>
          <w:rFonts w:ascii="Calibri" w:hAnsi="Calibri" w:cs="Calibri"/>
          <w:sz w:val="20"/>
          <w:szCs w:val="20"/>
          <w:lang w:val="en-AU"/>
        </w:rPr>
        <w:t xml:space="preserve"> of Chemistry, Faculty of Math and Natural Sciences, Univ</w:t>
      </w:r>
      <w:r w:rsidR="00DF3244">
        <w:rPr>
          <w:rFonts w:ascii="Calibri" w:hAnsi="Calibri" w:cs="Calibri"/>
          <w:sz w:val="20"/>
          <w:szCs w:val="20"/>
          <w:lang w:val="en-AU"/>
        </w:rPr>
        <w:t xml:space="preserve"> of IPB</w:t>
      </w:r>
      <w:r w:rsidR="00684F12" w:rsidRPr="00684F12">
        <w:rPr>
          <w:rFonts w:ascii="Calibri" w:hAnsi="Calibri" w:cs="Calibri"/>
          <w:sz w:val="20"/>
          <w:szCs w:val="20"/>
          <w:lang w:val="en-AU"/>
        </w:rPr>
        <w:t>, Bogor, Indonesia</w:t>
      </w:r>
      <w:r w:rsidR="00684F12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684F12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B93F29" w:rsidRPr="00B93F29">
        <w:rPr>
          <w:rFonts w:ascii="Calibri" w:hAnsi="Calibri" w:cs="Calibri"/>
          <w:sz w:val="20"/>
          <w:szCs w:val="20"/>
          <w:lang w:val="en-AU"/>
        </w:rPr>
        <w:t>Trop</w:t>
      </w:r>
      <w:r w:rsidR="00DF324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3F29" w:rsidRPr="00B93F29">
        <w:rPr>
          <w:rFonts w:ascii="Calibri" w:hAnsi="Calibri" w:cs="Calibri"/>
          <w:sz w:val="20"/>
          <w:szCs w:val="20"/>
          <w:lang w:val="en-AU"/>
        </w:rPr>
        <w:t xml:space="preserve">Bio Research </w:t>
      </w:r>
      <w:proofErr w:type="spellStart"/>
      <w:r w:rsidR="00B93F29" w:rsidRPr="00B93F29">
        <w:rPr>
          <w:rFonts w:ascii="Calibri" w:hAnsi="Calibri" w:cs="Calibri"/>
          <w:sz w:val="20"/>
          <w:szCs w:val="20"/>
          <w:lang w:val="en-AU"/>
        </w:rPr>
        <w:t>Center</w:t>
      </w:r>
      <w:proofErr w:type="spellEnd"/>
      <w:r w:rsidR="00B93F29" w:rsidRPr="00B93F29">
        <w:rPr>
          <w:rFonts w:ascii="Calibri" w:hAnsi="Calibri" w:cs="Calibri"/>
          <w:sz w:val="20"/>
          <w:szCs w:val="20"/>
          <w:lang w:val="en-AU"/>
        </w:rPr>
        <w:t>, Univ</w:t>
      </w:r>
      <w:r w:rsidR="00DF3244">
        <w:rPr>
          <w:rFonts w:ascii="Calibri" w:hAnsi="Calibri" w:cs="Calibri"/>
          <w:sz w:val="20"/>
          <w:szCs w:val="20"/>
          <w:lang w:val="en-AU"/>
        </w:rPr>
        <w:t xml:space="preserve"> of IPB</w:t>
      </w:r>
      <w:r w:rsidR="00B93F29" w:rsidRPr="00B93F29">
        <w:rPr>
          <w:rFonts w:ascii="Calibri" w:hAnsi="Calibri" w:cs="Calibri"/>
          <w:sz w:val="20"/>
          <w:szCs w:val="20"/>
          <w:lang w:val="en-AU"/>
        </w:rPr>
        <w:t>, Bogor</w:t>
      </w:r>
      <w:r w:rsidR="00B93F29">
        <w:rPr>
          <w:rFonts w:ascii="Calibri" w:hAnsi="Calibri" w:cs="Calibri"/>
          <w:sz w:val="20"/>
          <w:szCs w:val="20"/>
          <w:lang w:val="en-AU"/>
        </w:rPr>
        <w:t>, West Java</w:t>
      </w:r>
      <w:r w:rsidR="00B93F29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B93F29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684F12">
        <w:rPr>
          <w:rFonts w:ascii="Calibri" w:hAnsi="Calibri" w:cs="Calibri"/>
          <w:sz w:val="20"/>
          <w:szCs w:val="20"/>
          <w:lang w:val="en-AU"/>
        </w:rPr>
        <w:t>Dep</w:t>
      </w:r>
      <w:r w:rsidR="00DF3244">
        <w:rPr>
          <w:rFonts w:ascii="Calibri" w:hAnsi="Calibri" w:cs="Calibri"/>
          <w:sz w:val="20"/>
          <w:szCs w:val="20"/>
          <w:lang w:val="en-AU"/>
        </w:rPr>
        <w:t>t</w:t>
      </w:r>
      <w:r w:rsidR="00684F12">
        <w:rPr>
          <w:rFonts w:ascii="Calibri" w:hAnsi="Calibri" w:cs="Calibri"/>
          <w:sz w:val="20"/>
          <w:szCs w:val="20"/>
          <w:lang w:val="en-AU"/>
        </w:rPr>
        <w:t xml:space="preserve"> of </w:t>
      </w:r>
      <w:proofErr w:type="spellStart"/>
      <w:r w:rsidR="00684F12">
        <w:rPr>
          <w:rFonts w:ascii="Calibri" w:hAnsi="Calibri" w:cs="Calibri"/>
          <w:sz w:val="20"/>
          <w:szCs w:val="20"/>
          <w:lang w:val="en-AU"/>
        </w:rPr>
        <w:t>Pharmacol</w:t>
      </w:r>
      <w:proofErr w:type="spellEnd"/>
      <w:r w:rsidR="00684F12">
        <w:rPr>
          <w:rFonts w:ascii="Calibri" w:hAnsi="Calibri" w:cs="Calibri"/>
          <w:sz w:val="20"/>
          <w:szCs w:val="20"/>
          <w:lang w:val="en-AU"/>
        </w:rPr>
        <w:t xml:space="preserve"> and Therapeutics, Univ</w:t>
      </w:r>
      <w:r w:rsidR="00DF3244">
        <w:rPr>
          <w:rFonts w:ascii="Calibri" w:hAnsi="Calibri" w:cs="Calibri"/>
          <w:sz w:val="20"/>
          <w:szCs w:val="20"/>
          <w:lang w:val="en-AU"/>
        </w:rPr>
        <w:t xml:space="preserve"> of Indonesia</w:t>
      </w:r>
      <w:r w:rsidR="00684F12">
        <w:rPr>
          <w:rFonts w:ascii="Calibri" w:hAnsi="Calibri" w:cs="Calibri"/>
          <w:sz w:val="20"/>
          <w:szCs w:val="20"/>
          <w:lang w:val="en-AU"/>
        </w:rPr>
        <w:t>, Jakarta, Indonesia</w:t>
      </w:r>
      <w:r w:rsidR="00B93F29">
        <w:rPr>
          <w:rFonts w:ascii="Calibri" w:hAnsi="Calibri" w:cs="Calibri"/>
          <w:sz w:val="20"/>
          <w:szCs w:val="20"/>
          <w:vertAlign w:val="superscript"/>
          <w:lang w:val="en-AU"/>
        </w:rPr>
        <w:t>6</w:t>
      </w:r>
      <w:r w:rsidR="004E41E2">
        <w:rPr>
          <w:rFonts w:ascii="Calibri" w:hAnsi="Calibri" w:cs="Calibri"/>
          <w:sz w:val="20"/>
          <w:szCs w:val="20"/>
          <w:lang w:val="en-AU"/>
        </w:rPr>
        <w:t>; Dept of Stat, Univ of IPB, Bogor, Indonesia</w:t>
      </w:r>
      <w:r w:rsidR="004E41E2" w:rsidRPr="004E41E2">
        <w:rPr>
          <w:rFonts w:ascii="Calibri" w:hAnsi="Calibri" w:cs="Calibri"/>
          <w:sz w:val="20"/>
          <w:szCs w:val="20"/>
          <w:vertAlign w:val="superscript"/>
          <w:lang w:val="en-AU"/>
        </w:rPr>
        <w:t>7</w:t>
      </w:r>
      <w:r w:rsidR="004E41E2">
        <w:rPr>
          <w:rFonts w:ascii="Calibri" w:hAnsi="Calibri" w:cs="Calibri"/>
          <w:sz w:val="20"/>
          <w:szCs w:val="20"/>
          <w:lang w:val="en-AU"/>
        </w:rPr>
        <w:t>.</w:t>
      </w:r>
    </w:p>
    <w:p w14:paraId="27913C3C" w14:textId="53BBB216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4A687256" w14:textId="77777777" w:rsidR="00B93F29" w:rsidRPr="0079476C" w:rsidRDefault="00711813" w:rsidP="00B93F2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F3244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79476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93F29" w:rsidRPr="0079476C">
        <w:rPr>
          <w:rFonts w:ascii="Calibri" w:hAnsi="Calibri" w:cs="Calibri"/>
          <w:sz w:val="20"/>
          <w:szCs w:val="20"/>
          <w:lang w:val="en-AU"/>
        </w:rPr>
        <w:t xml:space="preserve">Type 2 diabetes mellitus (T2DM) is a chronic condition marked by insulin resistance and impaired insulin secretion. Conventional treatments can lower blood glucose, but often need combination therapy, which has long-term side effects and high costs. </w:t>
      </w:r>
    </w:p>
    <w:p w14:paraId="47FC6A77" w14:textId="51918D6F" w:rsidR="00B93F29" w:rsidRPr="0079476C" w:rsidRDefault="00B93F2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F324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="0079476C" w:rsidRPr="00DF3244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Pr="0079476C">
        <w:rPr>
          <w:rFonts w:ascii="Calibri" w:hAnsi="Calibri" w:cs="Calibri"/>
          <w:sz w:val="20"/>
          <w:szCs w:val="20"/>
          <w:lang w:val="en-AU"/>
        </w:rPr>
        <w:t xml:space="preserve"> This in vitro study </w:t>
      </w:r>
      <w:r w:rsidR="0079476C">
        <w:rPr>
          <w:rFonts w:ascii="Calibri" w:hAnsi="Calibri" w:cs="Calibri"/>
          <w:sz w:val="20"/>
          <w:szCs w:val="20"/>
          <w:lang w:val="en-AU"/>
        </w:rPr>
        <w:t>examines the antidiabetic and antioxidant properties of combination extracts from turmeric, cinnamon, and green tea, which contain beneficial compounds such as</w:t>
      </w:r>
      <w:r w:rsidRPr="0079476C">
        <w:rPr>
          <w:rFonts w:ascii="Calibri" w:hAnsi="Calibri" w:cs="Calibri"/>
          <w:sz w:val="20"/>
          <w:szCs w:val="20"/>
          <w:lang w:val="en-AU"/>
        </w:rPr>
        <w:t xml:space="preserve"> curcumin, cinnamaldehyde, and epigallocatechin gallate (EGCG). </w:t>
      </w:r>
    </w:p>
    <w:p w14:paraId="2917C4A9" w14:textId="0D74E77E" w:rsidR="00376768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F324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79476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76768" w:rsidRPr="00376768">
        <w:rPr>
          <w:rFonts w:ascii="Calibri" w:hAnsi="Calibri" w:cs="Calibri"/>
          <w:sz w:val="20"/>
          <w:szCs w:val="20"/>
          <w:lang w:val="en-AU"/>
        </w:rPr>
        <w:t xml:space="preserve">We </w:t>
      </w:r>
      <w:proofErr w:type="spellStart"/>
      <w:r w:rsidR="00376768" w:rsidRPr="00376768">
        <w:rPr>
          <w:rFonts w:ascii="Calibri" w:hAnsi="Calibri" w:cs="Calibri"/>
          <w:sz w:val="20"/>
          <w:szCs w:val="20"/>
          <w:lang w:val="en-AU"/>
        </w:rPr>
        <w:t>analyzed</w:t>
      </w:r>
      <w:proofErr w:type="spellEnd"/>
      <w:r w:rsidR="00376768" w:rsidRPr="00376768">
        <w:rPr>
          <w:rFonts w:ascii="Calibri" w:hAnsi="Calibri" w:cs="Calibri"/>
          <w:sz w:val="20"/>
          <w:szCs w:val="20"/>
          <w:lang w:val="en-AU"/>
        </w:rPr>
        <w:t xml:space="preserve"> ten formulation extracts, each tested three times, for 2,2-diphenyl-1-picrylhydrazyl (DPPH)</w:t>
      </w:r>
      <w:r w:rsidR="00077CC5">
        <w:rPr>
          <w:rFonts w:ascii="Calibri" w:hAnsi="Calibri" w:cs="Calibri"/>
          <w:sz w:val="20"/>
          <w:szCs w:val="20"/>
          <w:lang w:val="en-AU"/>
        </w:rPr>
        <w:t>,</w:t>
      </w:r>
      <w:r w:rsidR="00376768" w:rsidRPr="00376768">
        <w:rPr>
          <w:rFonts w:ascii="Calibri" w:hAnsi="Calibri" w:cs="Calibri"/>
          <w:sz w:val="20"/>
          <w:szCs w:val="20"/>
          <w:lang w:val="en-AU"/>
        </w:rPr>
        <w:t xml:space="preserve"> Ferric Reducing Antioxidant Power (FRAP) assays</w:t>
      </w:r>
      <w:r w:rsidR="00A31B46">
        <w:rPr>
          <w:rFonts w:ascii="Calibri" w:hAnsi="Calibri" w:cs="Calibri"/>
          <w:sz w:val="20"/>
          <w:szCs w:val="20"/>
          <w:lang w:val="en-AU"/>
        </w:rPr>
        <w:t xml:space="preserve"> and </w:t>
      </w:r>
      <w:proofErr w:type="spellStart"/>
      <w:r w:rsidR="00A31B46">
        <w:rPr>
          <w:rFonts w:ascii="Calibri" w:hAnsi="Calibri" w:cs="Calibri"/>
          <w:sz w:val="20"/>
          <w:szCs w:val="20"/>
          <w:lang w:val="en-AU"/>
        </w:rPr>
        <w:t>pyhtochemical</w:t>
      </w:r>
      <w:proofErr w:type="spellEnd"/>
      <w:r w:rsidR="00A31B4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66CEB">
        <w:rPr>
          <w:rFonts w:ascii="Calibri" w:hAnsi="Calibri" w:cs="Calibri"/>
          <w:sz w:val="20"/>
          <w:szCs w:val="20"/>
          <w:lang w:val="en-AU"/>
        </w:rPr>
        <w:t xml:space="preserve">content </w:t>
      </w:r>
      <w:r w:rsidR="00DA0223">
        <w:rPr>
          <w:rFonts w:ascii="Calibri" w:hAnsi="Calibri" w:cs="Calibri"/>
          <w:sz w:val="20"/>
          <w:szCs w:val="20"/>
          <w:lang w:val="en-AU"/>
        </w:rPr>
        <w:t>(</w:t>
      </w:r>
      <w:r w:rsidR="001B20B0" w:rsidRPr="001B20B0">
        <w:rPr>
          <w:rFonts w:ascii="Calibri" w:hAnsi="Calibri" w:cs="Calibri"/>
          <w:sz w:val="20"/>
          <w:szCs w:val="20"/>
          <w:lang w:val="en-AU"/>
        </w:rPr>
        <w:t>Total phenolic content (TPC) and total flavonoid content (TFC)</w:t>
      </w:r>
      <w:r w:rsidR="00DA0223">
        <w:rPr>
          <w:rFonts w:ascii="Calibri" w:hAnsi="Calibri" w:cs="Calibri"/>
          <w:sz w:val="20"/>
          <w:szCs w:val="20"/>
          <w:lang w:val="en-AU"/>
        </w:rPr>
        <w:t>). All test</w:t>
      </w:r>
      <w:r w:rsidR="001B20B0" w:rsidRPr="001B20B0">
        <w:rPr>
          <w:rFonts w:ascii="Calibri" w:hAnsi="Calibri" w:cs="Calibri"/>
          <w:sz w:val="20"/>
          <w:szCs w:val="20"/>
          <w:lang w:val="en-AU"/>
        </w:rPr>
        <w:t xml:space="preserve"> were measured using spectrophotometry. Additionally, we assessed α-glucosidase inhibitory properties and entered the data into Design Expert Software 13. The recommended optimized extract formulation </w:t>
      </w:r>
      <w:r w:rsidR="00165AA3">
        <w:rPr>
          <w:rFonts w:ascii="Calibri" w:hAnsi="Calibri" w:cs="Calibri"/>
          <w:sz w:val="20"/>
          <w:szCs w:val="20"/>
          <w:lang w:val="en-AU"/>
        </w:rPr>
        <w:t xml:space="preserve">from Design Expert </w:t>
      </w:r>
      <w:r w:rsidR="001B20B0" w:rsidRPr="001B20B0">
        <w:rPr>
          <w:rFonts w:ascii="Calibri" w:hAnsi="Calibri" w:cs="Calibri"/>
          <w:sz w:val="20"/>
          <w:szCs w:val="20"/>
          <w:lang w:val="en-AU"/>
        </w:rPr>
        <w:t>was then retested to verify its antioxidant capacity, phenolic and flavonoid content, and its ability to inhibit the α-glucosidase enzyme. We also performed verification on the DPP-4 inhibitory enzyme extract combination and identified key compounds in the extract using HPLC.</w:t>
      </w:r>
      <w:r w:rsidR="0079476C" w:rsidRPr="0079476C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1010C32" w14:textId="1CBABD9B" w:rsidR="00966B5F" w:rsidRDefault="00711813" w:rsidP="00157EF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F3244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79476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95CF5" w:rsidRPr="00195CF5">
        <w:rPr>
          <w:rFonts w:ascii="Calibri" w:hAnsi="Calibri" w:cs="Calibri"/>
          <w:sz w:val="20"/>
          <w:szCs w:val="20"/>
          <w:lang w:val="en-AU"/>
        </w:rPr>
        <w:t xml:space="preserve">The recommended formulation contains 28% green tea, 5% turmeric, and 67% cinnamon. The experimental results are as follows TPC test reveals 474.2 </w:t>
      </w:r>
      <w:r w:rsidR="00DA0204" w:rsidRPr="00195CF5">
        <w:rPr>
          <w:rFonts w:ascii="Calibri" w:hAnsi="Calibri" w:cs="Calibri"/>
          <w:sz w:val="20"/>
          <w:szCs w:val="20"/>
          <w:lang w:val="en-AU"/>
        </w:rPr>
        <w:t>± 7.8</w:t>
      </w:r>
      <w:r w:rsidR="00DA020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95CF5" w:rsidRPr="00195CF5">
        <w:rPr>
          <w:rFonts w:ascii="Calibri" w:hAnsi="Calibri" w:cs="Calibri"/>
          <w:sz w:val="20"/>
          <w:szCs w:val="20"/>
          <w:lang w:val="en-AU"/>
        </w:rPr>
        <w:t xml:space="preserve">mg GAE per dry weight, TFC test shows 25.5 </w:t>
      </w:r>
      <w:r w:rsidR="00DA0204" w:rsidRPr="00195CF5">
        <w:rPr>
          <w:rFonts w:ascii="Calibri" w:hAnsi="Calibri" w:cs="Calibri"/>
          <w:sz w:val="20"/>
          <w:szCs w:val="20"/>
          <w:lang w:val="en-AU"/>
        </w:rPr>
        <w:t>± 0.7</w:t>
      </w:r>
      <w:r w:rsidR="00DA020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95CF5" w:rsidRPr="00195CF5">
        <w:rPr>
          <w:rFonts w:ascii="Calibri" w:hAnsi="Calibri" w:cs="Calibri"/>
          <w:sz w:val="20"/>
          <w:szCs w:val="20"/>
          <w:lang w:val="en-AU"/>
        </w:rPr>
        <w:t>mg QE per dry weight, and</w:t>
      </w:r>
      <w:r w:rsidR="00157EF5" w:rsidRPr="00157EF5">
        <w:rPr>
          <w:rFonts w:ascii="Calibri" w:hAnsi="Calibri" w:cs="Calibri"/>
          <w:sz w:val="20"/>
          <w:szCs w:val="20"/>
          <w:lang w:val="en-AU"/>
        </w:rPr>
        <w:t xml:space="preserve"> DPPH the inhibitory rate of </w:t>
      </w:r>
      <w:r w:rsidR="00816350">
        <w:rPr>
          <w:rFonts w:ascii="Calibri" w:hAnsi="Calibri" w:cs="Calibri"/>
          <w:sz w:val="20"/>
          <w:szCs w:val="20"/>
          <w:lang w:val="en-AU"/>
        </w:rPr>
        <w:t>141</w:t>
      </w:r>
      <w:r w:rsidR="005243C5">
        <w:rPr>
          <w:rFonts w:ascii="Calibri" w:hAnsi="Calibri" w:cs="Calibri"/>
          <w:sz w:val="20"/>
          <w:szCs w:val="20"/>
          <w:lang w:val="en-AU"/>
        </w:rPr>
        <w:t>.0</w:t>
      </w:r>
      <w:r w:rsidR="00A06E76">
        <w:rPr>
          <w:rFonts w:ascii="Calibri" w:hAnsi="Calibri" w:cs="Calibri"/>
          <w:sz w:val="20"/>
          <w:szCs w:val="20"/>
          <w:lang w:val="en-AU"/>
        </w:rPr>
        <w:t xml:space="preserve"> mg TE</w:t>
      </w:r>
      <w:r w:rsidR="00EB3E08">
        <w:rPr>
          <w:rFonts w:ascii="Calibri" w:hAnsi="Calibri" w:cs="Calibri"/>
          <w:sz w:val="20"/>
          <w:szCs w:val="20"/>
          <w:lang w:val="en-AU"/>
        </w:rPr>
        <w:t xml:space="preserve"> per dry wet</w:t>
      </w:r>
      <w:r w:rsidR="00195CF5" w:rsidRPr="00195CF5">
        <w:rPr>
          <w:rFonts w:ascii="Calibri" w:hAnsi="Calibri" w:cs="Calibri"/>
          <w:sz w:val="20"/>
          <w:szCs w:val="20"/>
          <w:lang w:val="en-AU"/>
        </w:rPr>
        <w:t xml:space="preserve">. The FRAP test indicates a value of 3610.0 </w:t>
      </w:r>
      <w:r w:rsidR="00DA0204" w:rsidRPr="00195CF5">
        <w:rPr>
          <w:rFonts w:ascii="Calibri" w:hAnsi="Calibri" w:cs="Calibri"/>
          <w:sz w:val="20"/>
          <w:szCs w:val="20"/>
          <w:lang w:val="en-AU"/>
        </w:rPr>
        <w:t>± 74.8</w:t>
      </w:r>
      <w:r w:rsidR="00DA020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95CF5" w:rsidRPr="00195CF5">
        <w:rPr>
          <w:rFonts w:ascii="Calibri" w:hAnsi="Calibri" w:cs="Calibri"/>
          <w:sz w:val="20"/>
          <w:szCs w:val="20"/>
          <w:lang w:val="en-AU"/>
        </w:rPr>
        <w:t>mg TE per dry weight, and the inhibitory activity against α-glucosidase has an IC50 of 81.5 ppm</w:t>
      </w:r>
      <w:r w:rsidR="00784C02">
        <w:rPr>
          <w:rFonts w:ascii="Calibri" w:hAnsi="Calibri" w:cs="Calibri"/>
          <w:sz w:val="20"/>
          <w:szCs w:val="20"/>
          <w:lang w:val="en-AU"/>
        </w:rPr>
        <w:t xml:space="preserve"> and inhibitory activity 9</w:t>
      </w:r>
      <w:r w:rsidR="00BC7736">
        <w:rPr>
          <w:rFonts w:ascii="Calibri" w:hAnsi="Calibri" w:cs="Calibri"/>
          <w:sz w:val="20"/>
          <w:szCs w:val="20"/>
          <w:lang w:val="en-AU"/>
        </w:rPr>
        <w:t>4</w:t>
      </w:r>
      <w:r w:rsidR="00086F33">
        <w:rPr>
          <w:rFonts w:ascii="Calibri" w:hAnsi="Calibri" w:cs="Calibri"/>
          <w:sz w:val="20"/>
          <w:szCs w:val="20"/>
          <w:lang w:val="en-AU"/>
        </w:rPr>
        <w:t>.</w:t>
      </w:r>
      <w:r w:rsidR="00BC7736">
        <w:rPr>
          <w:rFonts w:ascii="Calibri" w:hAnsi="Calibri" w:cs="Calibri"/>
          <w:sz w:val="20"/>
          <w:szCs w:val="20"/>
          <w:lang w:val="en-AU"/>
        </w:rPr>
        <w:t>0%</w:t>
      </w:r>
      <w:r w:rsidR="00195CF5" w:rsidRPr="00195CF5">
        <w:rPr>
          <w:rFonts w:ascii="Calibri" w:hAnsi="Calibri" w:cs="Calibri"/>
          <w:sz w:val="20"/>
          <w:szCs w:val="20"/>
          <w:lang w:val="en-AU"/>
        </w:rPr>
        <w:t>. We also conducted a DPP-4 inhibitory activity test, which yielded a result of 419.2</w:t>
      </w:r>
      <w:r w:rsidR="004B5DC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95CF5" w:rsidRPr="00195CF5">
        <w:rPr>
          <w:rFonts w:ascii="Calibri" w:hAnsi="Calibri" w:cs="Calibri"/>
          <w:sz w:val="20"/>
          <w:szCs w:val="20"/>
          <w:lang w:val="en-AU"/>
        </w:rPr>
        <w:t>ppm. Quality tests confirmed that all formulations were free from microbial contamination (such as</w:t>
      </w:r>
      <w:r w:rsidR="00D80EE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80EE1" w:rsidRPr="00D80EE1">
        <w:rPr>
          <w:rFonts w:ascii="Calibri" w:hAnsi="Calibri" w:cs="Calibri"/>
          <w:sz w:val="20"/>
          <w:szCs w:val="20"/>
          <w:lang w:val="en-AU"/>
        </w:rPr>
        <w:t>Total Plate Count</w:t>
      </w:r>
      <w:r w:rsidR="00D27DA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B5FFD">
        <w:rPr>
          <w:rFonts w:ascii="Calibri" w:hAnsi="Calibri" w:cs="Calibri"/>
          <w:sz w:val="20"/>
          <w:szCs w:val="20"/>
          <w:lang w:val="en-AU"/>
        </w:rPr>
        <w:t xml:space="preserve">coliform, </w:t>
      </w:r>
      <w:r w:rsidR="008A1B0E">
        <w:rPr>
          <w:rFonts w:ascii="Calibri" w:hAnsi="Calibri" w:cs="Calibri"/>
          <w:sz w:val="20"/>
          <w:szCs w:val="20"/>
          <w:lang w:val="en-AU"/>
        </w:rPr>
        <w:t xml:space="preserve">yeast and </w:t>
      </w:r>
      <w:proofErr w:type="spellStart"/>
      <w:r w:rsidR="008A1B0E">
        <w:rPr>
          <w:rFonts w:ascii="Calibri" w:hAnsi="Calibri" w:cs="Calibri"/>
          <w:sz w:val="20"/>
          <w:szCs w:val="20"/>
          <w:lang w:val="en-AU"/>
        </w:rPr>
        <w:t>mold</w:t>
      </w:r>
      <w:proofErr w:type="spellEnd"/>
      <w:r w:rsidR="008A1B0E">
        <w:rPr>
          <w:rFonts w:ascii="Calibri" w:hAnsi="Calibri" w:cs="Calibri"/>
          <w:sz w:val="20"/>
          <w:szCs w:val="20"/>
          <w:lang w:val="en-AU"/>
        </w:rPr>
        <w:t xml:space="preserve"> showed </w:t>
      </w:r>
      <w:r w:rsidR="008A1B0E">
        <w:rPr>
          <w:rFonts w:ascii="Calibri" w:hAnsi="Calibri" w:cs="Calibri"/>
          <w:sz w:val="20"/>
          <w:szCs w:val="20"/>
          <w:lang w:val="en-AU"/>
        </w:rPr>
        <w:lastRenderedPageBreak/>
        <w:t>negative result</w:t>
      </w:r>
      <w:r w:rsidR="00195CF5" w:rsidRPr="00195CF5">
        <w:rPr>
          <w:rFonts w:ascii="Calibri" w:hAnsi="Calibri" w:cs="Calibri"/>
          <w:sz w:val="20"/>
          <w:szCs w:val="20"/>
          <w:lang w:val="en-AU"/>
        </w:rPr>
        <w:t>) and heavy metals (lead and cadmium). The biomarker compounds identified in this formulation through chromatographic analysis include curcumin, cinnamaldehyde, and EGCG.</w:t>
      </w:r>
      <w:r w:rsidR="00507A7E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05B4CE3" w14:textId="12F97500" w:rsidR="00F76037" w:rsidRPr="00F76037" w:rsidRDefault="00711813" w:rsidP="00F76037">
      <w:pPr>
        <w:jc w:val="both"/>
        <w:rPr>
          <w:rFonts w:ascii="Calibri" w:hAnsi="Calibri" w:cs="Calibri"/>
          <w:sz w:val="20"/>
          <w:szCs w:val="20"/>
        </w:rPr>
      </w:pPr>
      <w:r w:rsidRPr="00754BEE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79476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F12F3" w:rsidRPr="004E5450">
        <w:rPr>
          <w:rFonts w:ascii="Calibri" w:hAnsi="Calibri" w:cs="Calibri"/>
          <w:sz w:val="20"/>
          <w:szCs w:val="20"/>
        </w:rPr>
        <w:t xml:space="preserve"> </w:t>
      </w:r>
      <w:r w:rsidR="00F76037" w:rsidRPr="00F76037">
        <w:rPr>
          <w:rFonts w:ascii="Calibri" w:hAnsi="Calibri" w:cs="Calibri"/>
          <w:sz w:val="20"/>
          <w:szCs w:val="20"/>
        </w:rPr>
        <w:t>A polyherbal formulation with 5% turmeric, 67% cinnamon, and 28% green tea showed strong α-glucosidase inhibitory activity, with an IC₅₀ of 81.5 ppm and 94.0% inhibition. This low IC₅₀ value indicates better effectiveness compared to previous studies of aqueous extracts, which only reported a percentage inhibition of 88.7%.</w:t>
      </w:r>
      <w:r w:rsidR="00F76037">
        <w:rPr>
          <w:rFonts w:ascii="Calibri" w:hAnsi="Calibri" w:cs="Calibri"/>
          <w:sz w:val="20"/>
          <w:szCs w:val="20"/>
        </w:rPr>
        <w:t xml:space="preserve"> </w:t>
      </w:r>
      <w:r w:rsidR="00F76037" w:rsidRPr="00F76037">
        <w:rPr>
          <w:rFonts w:ascii="Calibri" w:hAnsi="Calibri" w:cs="Calibri"/>
          <w:sz w:val="20"/>
          <w:szCs w:val="20"/>
        </w:rPr>
        <w:t>In antioxidant capacity, earlier studies had a DPPH activity IC₅₀ of 817 µg/mL, suggesting weaker scavenging ability. In contrast, this study found a high Trolox equivalent antioxidant capacity of 141 mg TE/g dry weight. Although these values cannot be directly compared, the high Trolox equivalent indicates strong total antioxidant capacity</w:t>
      </w:r>
      <w:r w:rsidR="00F76037">
        <w:rPr>
          <w:rFonts w:ascii="Calibri" w:hAnsi="Calibri" w:cs="Calibri"/>
          <w:sz w:val="20"/>
          <w:szCs w:val="20"/>
        </w:rPr>
        <w:t xml:space="preserve">. </w:t>
      </w:r>
      <w:r w:rsidR="00F76037" w:rsidRPr="00F76037">
        <w:rPr>
          <w:rFonts w:ascii="Calibri" w:hAnsi="Calibri" w:cs="Calibri"/>
          <w:sz w:val="20"/>
          <w:szCs w:val="20"/>
        </w:rPr>
        <w:t>The increased enzyme inhibitory and antioxidant activities may come from using ethanol as the extraction solvent. Ethanol helps extract semi-polar compounds like catechins and curcuminoids, which are effective at inhibiting α-glucosidase and scavenging radicals. Aqueous extraction mainly recovers highly polar compounds, resulting in less of these active ingredients.</w:t>
      </w:r>
    </w:p>
    <w:p w14:paraId="10D171B7" w14:textId="10D79769" w:rsidR="00F97620" w:rsidRPr="004E5450" w:rsidRDefault="00F9762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1AD6"/>
    <w:rsid w:val="0005191C"/>
    <w:rsid w:val="00077CC5"/>
    <w:rsid w:val="00080840"/>
    <w:rsid w:val="00086F33"/>
    <w:rsid w:val="000A4FA6"/>
    <w:rsid w:val="000B51B9"/>
    <w:rsid w:val="000C4A7A"/>
    <w:rsid w:val="000D4996"/>
    <w:rsid w:val="0010175B"/>
    <w:rsid w:val="00121776"/>
    <w:rsid w:val="00157EF5"/>
    <w:rsid w:val="00164F6D"/>
    <w:rsid w:val="00165AA3"/>
    <w:rsid w:val="00171CAF"/>
    <w:rsid w:val="00173964"/>
    <w:rsid w:val="00185BB8"/>
    <w:rsid w:val="00195CF5"/>
    <w:rsid w:val="00196036"/>
    <w:rsid w:val="001B20B0"/>
    <w:rsid w:val="001D6A38"/>
    <w:rsid w:val="001F1105"/>
    <w:rsid w:val="001F2F0E"/>
    <w:rsid w:val="00217661"/>
    <w:rsid w:val="00226D49"/>
    <w:rsid w:val="002272B0"/>
    <w:rsid w:val="00233C1F"/>
    <w:rsid w:val="00264E05"/>
    <w:rsid w:val="00277ECD"/>
    <w:rsid w:val="002E235D"/>
    <w:rsid w:val="003001CD"/>
    <w:rsid w:val="00300B92"/>
    <w:rsid w:val="003238D9"/>
    <w:rsid w:val="00324D27"/>
    <w:rsid w:val="00376768"/>
    <w:rsid w:val="00387491"/>
    <w:rsid w:val="003D0E52"/>
    <w:rsid w:val="003F2B74"/>
    <w:rsid w:val="00402AA2"/>
    <w:rsid w:val="00425EBA"/>
    <w:rsid w:val="00444224"/>
    <w:rsid w:val="00475736"/>
    <w:rsid w:val="00482678"/>
    <w:rsid w:val="00483B05"/>
    <w:rsid w:val="0048472E"/>
    <w:rsid w:val="00491D68"/>
    <w:rsid w:val="004B5DCA"/>
    <w:rsid w:val="004D7959"/>
    <w:rsid w:val="004E2155"/>
    <w:rsid w:val="004E28B9"/>
    <w:rsid w:val="004E41E2"/>
    <w:rsid w:val="004E50FC"/>
    <w:rsid w:val="004E5450"/>
    <w:rsid w:val="00507A7E"/>
    <w:rsid w:val="005243C5"/>
    <w:rsid w:val="00541C1F"/>
    <w:rsid w:val="005705B0"/>
    <w:rsid w:val="00571A76"/>
    <w:rsid w:val="005829BD"/>
    <w:rsid w:val="0059609A"/>
    <w:rsid w:val="00597659"/>
    <w:rsid w:val="00597696"/>
    <w:rsid w:val="005B4A48"/>
    <w:rsid w:val="005D1700"/>
    <w:rsid w:val="005D6954"/>
    <w:rsid w:val="005E2C7C"/>
    <w:rsid w:val="005E48A2"/>
    <w:rsid w:val="005E62BE"/>
    <w:rsid w:val="00606280"/>
    <w:rsid w:val="006216A6"/>
    <w:rsid w:val="006301A5"/>
    <w:rsid w:val="00633940"/>
    <w:rsid w:val="0064657B"/>
    <w:rsid w:val="00680E98"/>
    <w:rsid w:val="00683939"/>
    <w:rsid w:val="00684F12"/>
    <w:rsid w:val="0068518C"/>
    <w:rsid w:val="006A40D8"/>
    <w:rsid w:val="006B5FFD"/>
    <w:rsid w:val="006D1154"/>
    <w:rsid w:val="006E6F89"/>
    <w:rsid w:val="00706C08"/>
    <w:rsid w:val="00711813"/>
    <w:rsid w:val="0071447B"/>
    <w:rsid w:val="00724E3C"/>
    <w:rsid w:val="00737D78"/>
    <w:rsid w:val="00743C46"/>
    <w:rsid w:val="00744514"/>
    <w:rsid w:val="00754BEE"/>
    <w:rsid w:val="00760B17"/>
    <w:rsid w:val="00766CEB"/>
    <w:rsid w:val="007748E3"/>
    <w:rsid w:val="00774F55"/>
    <w:rsid w:val="00776112"/>
    <w:rsid w:val="00784C02"/>
    <w:rsid w:val="0079476C"/>
    <w:rsid w:val="00796DE6"/>
    <w:rsid w:val="007A1C26"/>
    <w:rsid w:val="008008EB"/>
    <w:rsid w:val="00816350"/>
    <w:rsid w:val="0082335F"/>
    <w:rsid w:val="00885303"/>
    <w:rsid w:val="00887CAE"/>
    <w:rsid w:val="008909C9"/>
    <w:rsid w:val="008A1B0E"/>
    <w:rsid w:val="008B3B87"/>
    <w:rsid w:val="008F0F34"/>
    <w:rsid w:val="008F2A50"/>
    <w:rsid w:val="008F4AB1"/>
    <w:rsid w:val="00917E75"/>
    <w:rsid w:val="009215FB"/>
    <w:rsid w:val="00943241"/>
    <w:rsid w:val="00944037"/>
    <w:rsid w:val="009444CA"/>
    <w:rsid w:val="00947B77"/>
    <w:rsid w:val="00966B5F"/>
    <w:rsid w:val="00990187"/>
    <w:rsid w:val="009A36C0"/>
    <w:rsid w:val="009E2228"/>
    <w:rsid w:val="009F06D6"/>
    <w:rsid w:val="00A01363"/>
    <w:rsid w:val="00A02B38"/>
    <w:rsid w:val="00A06E76"/>
    <w:rsid w:val="00A266B4"/>
    <w:rsid w:val="00A31B46"/>
    <w:rsid w:val="00A427F0"/>
    <w:rsid w:val="00A519DD"/>
    <w:rsid w:val="00A523A6"/>
    <w:rsid w:val="00A71DEF"/>
    <w:rsid w:val="00A745CE"/>
    <w:rsid w:val="00A83A84"/>
    <w:rsid w:val="00AB78BD"/>
    <w:rsid w:val="00AE1C40"/>
    <w:rsid w:val="00AE2DA6"/>
    <w:rsid w:val="00AE5EDD"/>
    <w:rsid w:val="00B30830"/>
    <w:rsid w:val="00B41356"/>
    <w:rsid w:val="00B55F4B"/>
    <w:rsid w:val="00B67B50"/>
    <w:rsid w:val="00B93F29"/>
    <w:rsid w:val="00BC5A0B"/>
    <w:rsid w:val="00BC5FCC"/>
    <w:rsid w:val="00BC7736"/>
    <w:rsid w:val="00BF4018"/>
    <w:rsid w:val="00C132EC"/>
    <w:rsid w:val="00C134FE"/>
    <w:rsid w:val="00C13D00"/>
    <w:rsid w:val="00C24D9E"/>
    <w:rsid w:val="00C51915"/>
    <w:rsid w:val="00C60A71"/>
    <w:rsid w:val="00C8308F"/>
    <w:rsid w:val="00CA486F"/>
    <w:rsid w:val="00D06BE7"/>
    <w:rsid w:val="00D10657"/>
    <w:rsid w:val="00D27DA9"/>
    <w:rsid w:val="00D31A77"/>
    <w:rsid w:val="00D31EFD"/>
    <w:rsid w:val="00D51384"/>
    <w:rsid w:val="00D55F3B"/>
    <w:rsid w:val="00D80EE1"/>
    <w:rsid w:val="00DA0204"/>
    <w:rsid w:val="00DA0223"/>
    <w:rsid w:val="00DA2731"/>
    <w:rsid w:val="00DE0515"/>
    <w:rsid w:val="00DE1BE8"/>
    <w:rsid w:val="00DF3244"/>
    <w:rsid w:val="00DF7D37"/>
    <w:rsid w:val="00E5517F"/>
    <w:rsid w:val="00E64DB9"/>
    <w:rsid w:val="00EA6069"/>
    <w:rsid w:val="00EB3E08"/>
    <w:rsid w:val="00EF12F3"/>
    <w:rsid w:val="00EF6F50"/>
    <w:rsid w:val="00F02477"/>
    <w:rsid w:val="00F16A7D"/>
    <w:rsid w:val="00F30036"/>
    <w:rsid w:val="00F35AF3"/>
    <w:rsid w:val="00F60BE7"/>
    <w:rsid w:val="00F61242"/>
    <w:rsid w:val="00F7284B"/>
    <w:rsid w:val="00F754A1"/>
    <w:rsid w:val="00F76037"/>
    <w:rsid w:val="00F90F73"/>
    <w:rsid w:val="00F97620"/>
    <w:rsid w:val="00FA6C88"/>
    <w:rsid w:val="00FA7109"/>
    <w:rsid w:val="00FC63C3"/>
    <w:rsid w:val="00FD3811"/>
    <w:rsid w:val="00FF2344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12D051"/>
  <w15:chartTrackingRefBased/>
  <w15:docId w15:val="{94DBAC1D-5D3A-485A-99CD-29F365D1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216918-06F7-4288-9C3E-F5C2A0E327BF}">
  <we:reference id="wa200001011" version="1.4.0.0" store="en-US" storeType="OMEX"/>
  <we:alternateReferences>
    <we:reference id="wa200001011" version="1.4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936C0-8F73-4B6F-A1F2-3C6ECC7426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3832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trisni dewi</cp:lastModifiedBy>
  <cp:revision>2</cp:revision>
  <cp:lastPrinted>2013-06-13T08:15:00Z</cp:lastPrinted>
  <dcterms:created xsi:type="dcterms:W3CDTF">2026-02-24T07:07:00Z</dcterms:created>
  <dcterms:modified xsi:type="dcterms:W3CDTF">2026-02-24T07:07:00Z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87d0ddcb-f4f4-4824-b38f-685208a1a53f</vt:lpwstr>
  </property>
</Properties>
</file>