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9BE9" w14:textId="77777777" w:rsidR="00366A45" w:rsidRDefault="00366A45" w:rsidP="5E2C5F31">
      <w:pPr>
        <w:spacing w:after="0" w:line="240" w:lineRule="auto"/>
        <w:rPr>
          <w:rFonts w:ascii="Arial" w:eastAsia="Calibri" w:hAnsi="Arial" w:cs="Calibri"/>
          <w:b/>
          <w:bCs/>
          <w:kern w:val="0"/>
          <w:lang w:val="en-GB"/>
          <w14:ligatures w14:val="none"/>
        </w:rPr>
      </w:pPr>
      <w:r w:rsidRPr="00366A45">
        <w:rPr>
          <w:rFonts w:ascii="Arial" w:eastAsia="Calibri" w:hAnsi="Arial" w:cs="Calibri"/>
          <w:b/>
          <w:bCs/>
          <w:kern w:val="0"/>
          <w:lang w:val="en-GB"/>
          <w14:ligatures w14:val="none"/>
        </w:rPr>
        <w:t>Enabling Personalized Tablet Manufacturing: A Targeted Review of Pharmaceutical Applications Using REGENHU 3D Printing Systems</w:t>
      </w:r>
    </w:p>
    <w:p w14:paraId="79141BD9" w14:textId="565CCEA5" w:rsidR="00C315D2" w:rsidRPr="009C70D1" w:rsidRDefault="007D35D3" w:rsidP="00C315D2">
      <w:pPr>
        <w:spacing w:after="0" w:line="240" w:lineRule="auto"/>
        <w:rPr>
          <w:rFonts w:ascii="Arial" w:eastAsia="Calibri" w:hAnsi="Arial" w:cs="Calibri"/>
          <w:kern w:val="0"/>
          <w:sz w:val="20"/>
          <w:szCs w:val="20"/>
          <w:lang w:val="nl-NL"/>
          <w14:ligatures w14:val="none"/>
        </w:rPr>
      </w:pPr>
      <w:r w:rsidRPr="009C70D1">
        <w:rPr>
          <w:rFonts w:ascii="Arial" w:eastAsia="Calibri" w:hAnsi="Arial" w:cs="Calibri"/>
          <w:b/>
          <w:kern w:val="0"/>
          <w:sz w:val="20"/>
          <w:szCs w:val="20"/>
          <w:u w:val="single"/>
          <w:lang w:val="nl-NL"/>
          <w14:ligatures w14:val="none"/>
        </w:rPr>
        <w:t>Anke de Leeuw</w:t>
      </w:r>
      <w:r w:rsidR="00C315D2" w:rsidRPr="009C70D1">
        <w:rPr>
          <w:rFonts w:ascii="Arial" w:eastAsia="Calibri" w:hAnsi="Arial" w:cs="Calibri"/>
          <w:b/>
          <w:kern w:val="0"/>
          <w:sz w:val="20"/>
          <w:szCs w:val="20"/>
          <w:u w:val="single"/>
          <w:vertAlign w:val="superscript"/>
          <w:lang w:val="nl-NL"/>
          <w14:ligatures w14:val="none"/>
        </w:rPr>
        <w:t>1</w:t>
      </w:r>
      <w:r w:rsidR="00C315D2" w:rsidRPr="009C70D1">
        <w:rPr>
          <w:rFonts w:ascii="Arial" w:eastAsia="Calibri" w:hAnsi="Arial" w:cs="Calibri"/>
          <w:kern w:val="0"/>
          <w:sz w:val="20"/>
          <w:szCs w:val="20"/>
          <w:lang w:val="nl-NL"/>
          <w14:ligatures w14:val="none"/>
        </w:rPr>
        <w:t xml:space="preserve">, </w:t>
      </w:r>
      <w:r w:rsidR="009C4A88" w:rsidRPr="009C70D1">
        <w:rPr>
          <w:rFonts w:ascii="Arial" w:eastAsia="Calibri" w:hAnsi="Arial" w:cs="Calibri"/>
          <w:kern w:val="0"/>
          <w:sz w:val="20"/>
          <w:szCs w:val="20"/>
          <w:lang w:val="nl-NL"/>
          <w14:ligatures w14:val="none"/>
        </w:rPr>
        <w:t>Paul Patreau</w:t>
      </w:r>
      <w:r w:rsidR="00C315D2" w:rsidRPr="009C70D1">
        <w:rPr>
          <w:rFonts w:ascii="Arial" w:eastAsia="Calibri" w:hAnsi="Arial" w:cs="Calibri"/>
          <w:kern w:val="0"/>
          <w:sz w:val="20"/>
          <w:szCs w:val="20"/>
          <w:vertAlign w:val="superscript"/>
          <w:lang w:val="nl-NL"/>
          <w14:ligatures w14:val="none"/>
        </w:rPr>
        <w:t>1</w:t>
      </w:r>
      <w:r w:rsidR="002A3C34" w:rsidRPr="009C70D1">
        <w:rPr>
          <w:rFonts w:ascii="Arial" w:eastAsia="Calibri" w:hAnsi="Arial" w:cs="Calibri"/>
          <w:kern w:val="0"/>
          <w:sz w:val="20"/>
          <w:szCs w:val="20"/>
          <w:lang w:val="nl-NL"/>
          <w14:ligatures w14:val="none"/>
        </w:rPr>
        <w:t>,</w:t>
      </w:r>
      <w:r w:rsidR="00C315D2" w:rsidRPr="009C70D1">
        <w:rPr>
          <w:rFonts w:ascii="Arial" w:eastAsia="Calibri" w:hAnsi="Arial" w:cs="Calibri"/>
          <w:kern w:val="0"/>
          <w:sz w:val="20"/>
          <w:szCs w:val="20"/>
          <w:lang w:val="nl-NL"/>
          <w14:ligatures w14:val="none"/>
        </w:rPr>
        <w:t xml:space="preserve"> </w:t>
      </w:r>
      <w:r w:rsidR="002A3C34" w:rsidRPr="009C70D1">
        <w:rPr>
          <w:rFonts w:ascii="Arial" w:eastAsia="Calibri" w:hAnsi="Arial" w:cs="Calibri"/>
          <w:kern w:val="0"/>
          <w:sz w:val="20"/>
          <w:szCs w:val="20"/>
          <w:lang w:val="nl-NL"/>
          <w14:ligatures w14:val="none"/>
        </w:rPr>
        <w:t>Petra Novotna Zavadakova</w:t>
      </w:r>
      <w:r w:rsidR="002A3C34" w:rsidRPr="009C70D1">
        <w:rPr>
          <w:rFonts w:ascii="Arial" w:eastAsia="Calibri" w:hAnsi="Arial" w:cs="Calibri"/>
          <w:kern w:val="0"/>
          <w:sz w:val="20"/>
          <w:szCs w:val="20"/>
          <w:vertAlign w:val="superscript"/>
          <w:lang w:val="nl-NL"/>
          <w14:ligatures w14:val="none"/>
        </w:rPr>
        <w:t>1</w:t>
      </w:r>
      <w:r w:rsidR="002F5CAE" w:rsidRPr="009C70D1">
        <w:rPr>
          <w:rFonts w:ascii="Arial" w:eastAsia="Calibri" w:hAnsi="Arial" w:cs="Calibri"/>
          <w:kern w:val="0"/>
          <w:sz w:val="20"/>
          <w:szCs w:val="20"/>
          <w:lang w:val="nl-NL"/>
          <w14:ligatures w14:val="none"/>
        </w:rPr>
        <w:t>.</w:t>
      </w:r>
    </w:p>
    <w:p w14:paraId="137D4547" w14:textId="77600341" w:rsidR="00C315D2" w:rsidRPr="009C70D1" w:rsidRDefault="002F5CAE" w:rsidP="4FE71DF4">
      <w:pPr>
        <w:spacing w:after="0" w:line="240" w:lineRule="auto"/>
        <w:rPr>
          <w:rFonts w:ascii="Arial" w:eastAsia="Calibri" w:hAnsi="Arial" w:cs="Calibri"/>
          <w:bCs/>
          <w:kern w:val="0"/>
          <w:sz w:val="20"/>
          <w:szCs w:val="20"/>
          <w:lang w:val="fr-CH"/>
          <w14:ligatures w14:val="none"/>
        </w:rPr>
      </w:pPr>
      <w:r w:rsidRPr="009C70D1">
        <w:rPr>
          <w:rFonts w:ascii="Arial" w:eastAsia="Calibri" w:hAnsi="Arial" w:cs="Calibri"/>
          <w:bCs/>
          <w:kern w:val="0"/>
          <w:sz w:val="20"/>
          <w:szCs w:val="20"/>
          <w:lang w:val="fr-CH"/>
          <w14:ligatures w14:val="none"/>
        </w:rPr>
        <w:t>REGENHU SA</w:t>
      </w:r>
      <w:r w:rsidR="00C315D2" w:rsidRPr="009C70D1">
        <w:rPr>
          <w:rFonts w:ascii="Arial" w:eastAsia="Calibri" w:hAnsi="Arial" w:cs="Calibri"/>
          <w:bCs/>
          <w:kern w:val="0"/>
          <w:sz w:val="20"/>
          <w:szCs w:val="20"/>
          <w:vertAlign w:val="superscript"/>
          <w:lang w:val="fr-CH"/>
          <w14:ligatures w14:val="none"/>
        </w:rPr>
        <w:t>1</w:t>
      </w:r>
      <w:r w:rsidR="00C315D2" w:rsidRPr="009C70D1">
        <w:rPr>
          <w:rFonts w:ascii="Arial" w:eastAsia="Calibri" w:hAnsi="Arial" w:cs="Calibri"/>
          <w:bCs/>
          <w:kern w:val="0"/>
          <w:sz w:val="20"/>
          <w:szCs w:val="20"/>
          <w:lang w:val="fr-CH"/>
          <w14:ligatures w14:val="none"/>
        </w:rPr>
        <w:t xml:space="preserve">, </w:t>
      </w:r>
      <w:proofErr w:type="spellStart"/>
      <w:r w:rsidR="00612D67" w:rsidRPr="009C70D1">
        <w:rPr>
          <w:rFonts w:ascii="Arial" w:eastAsia="Calibri" w:hAnsi="Arial" w:cs="Calibri"/>
          <w:bCs/>
          <w:kern w:val="0"/>
          <w:sz w:val="20"/>
          <w:szCs w:val="20"/>
          <w:lang w:val="fr-CH"/>
          <w14:ligatures w14:val="none"/>
        </w:rPr>
        <w:t>Villaz</w:t>
      </w:r>
      <w:proofErr w:type="spellEnd"/>
      <w:r w:rsidR="00612D67" w:rsidRPr="009C70D1">
        <w:rPr>
          <w:rFonts w:ascii="Arial" w:eastAsia="Calibri" w:hAnsi="Arial" w:cs="Calibri"/>
          <w:bCs/>
          <w:kern w:val="0"/>
          <w:sz w:val="20"/>
          <w:szCs w:val="20"/>
          <w:lang w:val="fr-CH"/>
          <w14:ligatures w14:val="none"/>
        </w:rPr>
        <w:t xml:space="preserve">-St-Pierre, Fribourg, </w:t>
      </w:r>
      <w:proofErr w:type="spellStart"/>
      <w:r w:rsidR="00612D67" w:rsidRPr="009C70D1">
        <w:rPr>
          <w:rFonts w:ascii="Arial" w:eastAsia="Calibri" w:hAnsi="Arial" w:cs="Calibri"/>
          <w:bCs/>
          <w:kern w:val="0"/>
          <w:sz w:val="20"/>
          <w:szCs w:val="20"/>
          <w:lang w:val="fr-CH"/>
          <w14:ligatures w14:val="none"/>
        </w:rPr>
        <w:t>Switzerland</w:t>
      </w:r>
      <w:proofErr w:type="spellEnd"/>
    </w:p>
    <w:p w14:paraId="2DD37039" w14:textId="00EA6872" w:rsidR="00C315D2" w:rsidRPr="009C70D1" w:rsidRDefault="00C315D2" w:rsidP="00C315D2">
      <w:pPr>
        <w:spacing w:after="0" w:line="240" w:lineRule="auto"/>
        <w:rPr>
          <w:rFonts w:ascii="Arial" w:eastAsia="Calibri" w:hAnsi="Arial" w:cs="Calibri"/>
          <w:bCs/>
          <w:kern w:val="0"/>
          <w:sz w:val="20"/>
          <w:szCs w:val="20"/>
          <w:lang w:val="fr-CH"/>
          <w14:ligatures w14:val="none"/>
        </w:rPr>
      </w:pPr>
    </w:p>
    <w:p w14:paraId="2385039D" w14:textId="067BE167" w:rsidR="00C315D2" w:rsidRPr="005C76C0" w:rsidRDefault="00B8473A" w:rsidP="00C315D2">
      <w:pPr>
        <w:spacing w:after="0" w:line="240" w:lineRule="auto"/>
        <w:jc w:val="both"/>
        <w:rPr>
          <w:rFonts w:ascii="Arial" w:eastAsia="Calibri" w:hAnsi="Arial" w:cs="Calibri"/>
          <w:bCs/>
          <w:kern w:val="0"/>
          <w:sz w:val="20"/>
          <w:szCs w:val="20"/>
          <w:lang w:val="en-GB"/>
          <w14:ligatures w14:val="none"/>
        </w:rPr>
      </w:pPr>
      <w:r w:rsidRPr="005C76C0">
        <w:rPr>
          <w:rFonts w:ascii="Arial" w:eastAsia="Calibri" w:hAnsi="Arial" w:cs="Calibri"/>
          <w:b/>
          <w:kern w:val="0"/>
          <w:sz w:val="20"/>
          <w:szCs w:val="20"/>
          <w:lang w:val="en-GB"/>
          <w14:ligatures w14:val="none"/>
        </w:rPr>
        <w:t>Background and aims</w:t>
      </w:r>
      <w:r w:rsidR="00C315D2" w:rsidRPr="005C76C0">
        <w:rPr>
          <w:rFonts w:ascii="Arial" w:eastAsia="Calibri" w:hAnsi="Arial" w:cs="Calibri"/>
          <w:b/>
          <w:kern w:val="0"/>
          <w:sz w:val="20"/>
          <w:szCs w:val="20"/>
          <w:lang w:val="en-GB"/>
          <w14:ligatures w14:val="none"/>
        </w:rPr>
        <w:t>.</w:t>
      </w:r>
      <w:r w:rsidR="00C315D2" w:rsidRPr="005C76C0">
        <w:rPr>
          <w:rFonts w:ascii="Arial" w:eastAsia="Calibri" w:hAnsi="Arial" w:cs="Calibri"/>
          <w:bCs/>
          <w:kern w:val="0"/>
          <w:sz w:val="20"/>
          <w:szCs w:val="20"/>
          <w:lang w:val="en-GB"/>
          <w14:ligatures w14:val="none"/>
        </w:rPr>
        <w:t xml:space="preserve"> </w:t>
      </w:r>
      <w:r w:rsidR="00EE34F9" w:rsidRPr="00EE34F9">
        <w:rPr>
          <w:rFonts w:ascii="Arial" w:eastAsia="Calibri" w:hAnsi="Arial" w:cs="Calibri"/>
          <w:bCs/>
          <w:kern w:val="0"/>
          <w:sz w:val="20"/>
          <w:szCs w:val="20"/>
          <w:lang w:val="en-GB"/>
          <w14:ligatures w14:val="none"/>
        </w:rPr>
        <w:t>Personalized medicine requires adaptable manufacturing strategies capable of producing individualized dosages, combining multiple active pharmaceutical ingredients (APIs), and tuning drug release profiles. Conventional tablet manufacturing struggles to meet these needs, particularly for elderly populations or patients requiring complex regimens. Additive manufacturing offers new approaches to overcome these limitations. This work presents a targeted review of published studies that utilize REGENHU’s 3D bioprinting platforms for pharmaceutical tablet fabrication, focusing on applications enabled by specific platform features.</w:t>
      </w:r>
    </w:p>
    <w:p w14:paraId="15D93483" w14:textId="77777777" w:rsidR="00C315D2" w:rsidRPr="005C76C0" w:rsidRDefault="00C315D2" w:rsidP="00C315D2">
      <w:pPr>
        <w:spacing w:after="0" w:line="240" w:lineRule="auto"/>
        <w:jc w:val="both"/>
        <w:rPr>
          <w:rFonts w:ascii="Arial" w:eastAsia="Calibri" w:hAnsi="Arial" w:cs="Calibri"/>
          <w:b/>
          <w:kern w:val="0"/>
          <w:sz w:val="20"/>
          <w:szCs w:val="20"/>
          <w:lang w:val="en-GB"/>
          <w14:ligatures w14:val="none"/>
        </w:rPr>
      </w:pPr>
    </w:p>
    <w:p w14:paraId="48C0479A" w14:textId="59CDB7D8" w:rsidR="00C315D2" w:rsidRPr="005C76C0" w:rsidRDefault="00C315D2" w:rsidP="00C315D2">
      <w:pPr>
        <w:spacing w:after="0" w:line="240" w:lineRule="auto"/>
        <w:jc w:val="both"/>
        <w:rPr>
          <w:rFonts w:ascii="Arial" w:eastAsia="Calibri" w:hAnsi="Arial" w:cs="Calibri"/>
          <w:bCs/>
          <w:kern w:val="0"/>
          <w:sz w:val="20"/>
          <w:szCs w:val="20"/>
          <w:lang w:val="en-GB"/>
          <w14:ligatures w14:val="none"/>
        </w:rPr>
      </w:pPr>
      <w:r w:rsidRPr="005C76C0">
        <w:rPr>
          <w:rFonts w:ascii="Arial" w:eastAsia="Calibri" w:hAnsi="Arial" w:cs="Calibri"/>
          <w:b/>
          <w:kern w:val="0"/>
          <w:sz w:val="20"/>
          <w:szCs w:val="20"/>
          <w:lang w:val="en-GB"/>
          <w14:ligatures w14:val="none"/>
        </w:rPr>
        <w:t>Methods.</w:t>
      </w:r>
      <w:r w:rsidRPr="005C76C0">
        <w:rPr>
          <w:rFonts w:ascii="Arial" w:eastAsia="Calibri" w:hAnsi="Arial" w:cs="Calibri"/>
          <w:bCs/>
          <w:kern w:val="0"/>
          <w:sz w:val="20"/>
          <w:szCs w:val="20"/>
          <w:lang w:val="en-GB"/>
          <w14:ligatures w14:val="none"/>
        </w:rPr>
        <w:t xml:space="preserve"> </w:t>
      </w:r>
      <w:r w:rsidR="002C6458" w:rsidRPr="002C6458">
        <w:rPr>
          <w:rFonts w:ascii="Arial" w:eastAsia="Calibri" w:hAnsi="Arial" w:cs="Calibri"/>
          <w:bCs/>
          <w:kern w:val="0"/>
          <w:sz w:val="20"/>
          <w:szCs w:val="20"/>
          <w:lang w:val="en-GB"/>
          <w14:ligatures w14:val="none"/>
        </w:rPr>
        <w:t>We reviewed selected peer-reviewed studies where REGENHU printers were employed in pharmaceutical research.</w:t>
      </w:r>
      <w:r w:rsidR="005330F2">
        <w:rPr>
          <w:rFonts w:ascii="Arial" w:eastAsia="Calibri" w:hAnsi="Arial" w:cs="Calibri"/>
          <w:bCs/>
          <w:kern w:val="0"/>
          <w:sz w:val="20"/>
          <w:szCs w:val="20"/>
          <w:lang w:val="en-GB"/>
          <w14:ligatures w14:val="none"/>
        </w:rPr>
        <w:t xml:space="preserve"> </w:t>
      </w:r>
      <w:r w:rsidR="005330F2" w:rsidRPr="005330F2">
        <w:rPr>
          <w:rFonts w:ascii="Arial" w:eastAsia="Calibri" w:hAnsi="Arial" w:cs="Calibri"/>
          <w:bCs/>
          <w:kern w:val="0"/>
          <w:sz w:val="20"/>
          <w:szCs w:val="20"/>
          <w:lang w:val="en-GB"/>
          <w14:ligatures w14:val="none"/>
        </w:rPr>
        <w:t>Key enabling features included pneumatic extrusion for processing high-viscosity pastes, a high-temperature workzone facilitating pre-curing of materials, multi</w:t>
      </w:r>
      <w:r w:rsidR="003A5EE6">
        <w:rPr>
          <w:rFonts w:ascii="Arial" w:eastAsia="Calibri" w:hAnsi="Arial" w:cs="Calibri"/>
          <w:bCs/>
          <w:kern w:val="0"/>
          <w:sz w:val="20"/>
          <w:szCs w:val="20"/>
          <w:lang w:val="en-GB"/>
          <w14:ligatures w14:val="none"/>
        </w:rPr>
        <w:t xml:space="preserve">ple </w:t>
      </w:r>
      <w:r w:rsidR="005330F2" w:rsidRPr="005330F2">
        <w:rPr>
          <w:rFonts w:ascii="Arial" w:eastAsia="Calibri" w:hAnsi="Arial" w:cs="Calibri"/>
          <w:bCs/>
          <w:kern w:val="0"/>
          <w:sz w:val="20"/>
          <w:szCs w:val="20"/>
          <w:lang w:val="en-GB"/>
          <w14:ligatures w14:val="none"/>
        </w:rPr>
        <w:t>material printing for spatial compartmentalization, and intuitive software allowing precise geometrical design. These capabilities were assessed for their relevance to personalized pharmaceutical manufacturing.</w:t>
      </w:r>
    </w:p>
    <w:p w14:paraId="1387B9C3" w14:textId="77777777" w:rsidR="00C315D2" w:rsidRPr="005C76C0" w:rsidRDefault="00C315D2" w:rsidP="00C315D2">
      <w:pPr>
        <w:spacing w:after="0" w:line="240" w:lineRule="auto"/>
        <w:jc w:val="both"/>
        <w:rPr>
          <w:rFonts w:ascii="Calibri" w:eastAsia="Calibri" w:hAnsi="Calibri" w:cs="Times New Roman"/>
          <w:b/>
          <w:bCs/>
          <w:kern w:val="0"/>
          <w:lang w:val="en-GB"/>
          <w14:ligatures w14:val="none"/>
        </w:rPr>
      </w:pPr>
    </w:p>
    <w:p w14:paraId="58EE2702" w14:textId="7B87477C" w:rsidR="00C315D2" w:rsidRPr="005C76C0" w:rsidRDefault="00795378" w:rsidP="2021B9E9">
      <w:pPr>
        <w:spacing w:after="0" w:line="240" w:lineRule="auto"/>
        <w:jc w:val="both"/>
        <w:rPr>
          <w:rFonts w:ascii="Arial" w:eastAsia="Calibri" w:hAnsi="Arial" w:cs="Calibri"/>
          <w:kern w:val="0"/>
          <w:sz w:val="20"/>
          <w:szCs w:val="20"/>
          <w:lang w:val="en-GB"/>
          <w14:ligatures w14:val="none"/>
        </w:rPr>
      </w:pPr>
      <w:r w:rsidRPr="005C76C0">
        <w:rPr>
          <w:rFonts w:ascii="Arial" w:eastAsia="Calibri" w:hAnsi="Arial" w:cs="Calibri"/>
          <w:b/>
          <w:bCs/>
          <w:kern w:val="0"/>
          <w:sz w:val="20"/>
          <w:szCs w:val="20"/>
          <w:lang w:val="en-GB"/>
          <w14:ligatures w14:val="none"/>
        </w:rPr>
        <w:t>Results.</w:t>
      </w:r>
      <w:r w:rsidR="00C315D2" w:rsidRPr="005C76C0">
        <w:rPr>
          <w:rFonts w:ascii="Calibri" w:eastAsia="Calibri" w:hAnsi="Calibri" w:cs="Times New Roman"/>
          <w:kern w:val="0"/>
          <w:lang w:val="en-GB"/>
          <w14:ligatures w14:val="none"/>
        </w:rPr>
        <w:t xml:space="preserve"> </w:t>
      </w:r>
      <w:r w:rsidR="00087E4A" w:rsidRPr="00087E4A">
        <w:rPr>
          <w:rFonts w:ascii="Arial" w:eastAsia="Calibri" w:hAnsi="Arial" w:cs="Calibri"/>
          <w:kern w:val="0"/>
          <w:sz w:val="20"/>
          <w:szCs w:val="20"/>
          <w:lang w:val="en-GB"/>
          <w14:ligatures w14:val="none"/>
        </w:rPr>
        <w:t>The reviewed studies illustrate the versatility of REGENHU’s platform in supporting diverse pharmaceutical use-cases. Examples include polypills containing five APIs with separated compartments to control individual release profiles [</w:t>
      </w:r>
      <w:r w:rsidR="00422683">
        <w:rPr>
          <w:rFonts w:ascii="Arial" w:eastAsia="Calibri" w:hAnsi="Arial" w:cs="Calibri"/>
          <w:kern w:val="0"/>
          <w:sz w:val="20"/>
          <w:szCs w:val="20"/>
          <w:lang w:val="en-GB"/>
          <w14:ligatures w14:val="none"/>
        </w:rPr>
        <w:t>1</w:t>
      </w:r>
      <w:r w:rsidR="00087E4A" w:rsidRPr="00087E4A">
        <w:rPr>
          <w:rFonts w:ascii="Arial" w:eastAsia="Calibri" w:hAnsi="Arial" w:cs="Calibri"/>
          <w:kern w:val="0"/>
          <w:sz w:val="20"/>
          <w:szCs w:val="20"/>
          <w:lang w:val="en-GB"/>
          <w14:ligatures w14:val="none"/>
        </w:rPr>
        <w:t>], tablets with architecturally controlled geometries enabling delayed or sustained drug release without requiring additional coatings [</w:t>
      </w:r>
      <w:r w:rsidR="00422683">
        <w:rPr>
          <w:rFonts w:ascii="Arial" w:eastAsia="Calibri" w:hAnsi="Arial" w:cs="Calibri"/>
          <w:kern w:val="0"/>
          <w:sz w:val="20"/>
          <w:szCs w:val="20"/>
          <w:lang w:val="en-GB"/>
          <w14:ligatures w14:val="none"/>
        </w:rPr>
        <w:t>2</w:t>
      </w:r>
      <w:r w:rsidR="00087E4A" w:rsidRPr="00087E4A">
        <w:rPr>
          <w:rFonts w:ascii="Arial" w:eastAsia="Calibri" w:hAnsi="Arial" w:cs="Calibri"/>
          <w:kern w:val="0"/>
          <w:sz w:val="20"/>
          <w:szCs w:val="20"/>
          <w:lang w:val="en-GB"/>
          <w14:ligatures w14:val="none"/>
        </w:rPr>
        <w:t>,</w:t>
      </w:r>
      <w:r w:rsidR="00422683">
        <w:rPr>
          <w:rFonts w:ascii="Arial" w:eastAsia="Calibri" w:hAnsi="Arial" w:cs="Calibri"/>
          <w:kern w:val="0"/>
          <w:sz w:val="20"/>
          <w:szCs w:val="20"/>
          <w:lang w:val="en-GB"/>
          <w14:ligatures w14:val="none"/>
        </w:rPr>
        <w:t>3</w:t>
      </w:r>
      <w:r w:rsidR="00087E4A" w:rsidRPr="00087E4A">
        <w:rPr>
          <w:rFonts w:ascii="Arial" w:eastAsia="Calibri" w:hAnsi="Arial" w:cs="Calibri"/>
          <w:kern w:val="0"/>
          <w:sz w:val="20"/>
          <w:szCs w:val="20"/>
          <w:lang w:val="en-GB"/>
          <w14:ligatures w14:val="none"/>
        </w:rPr>
        <w:t>], and porous tablets capable of ultra-rapid disintegration [</w:t>
      </w:r>
      <w:r w:rsidR="00422683">
        <w:rPr>
          <w:rFonts w:ascii="Arial" w:eastAsia="Calibri" w:hAnsi="Arial" w:cs="Calibri"/>
          <w:kern w:val="0"/>
          <w:sz w:val="20"/>
          <w:szCs w:val="20"/>
          <w:lang w:val="en-GB"/>
          <w14:ligatures w14:val="none"/>
        </w:rPr>
        <w:t>4</w:t>
      </w:r>
      <w:r w:rsidR="00087E4A" w:rsidRPr="00087E4A">
        <w:rPr>
          <w:rFonts w:ascii="Arial" w:eastAsia="Calibri" w:hAnsi="Arial" w:cs="Calibri"/>
          <w:kern w:val="0"/>
          <w:sz w:val="20"/>
          <w:szCs w:val="20"/>
          <w:lang w:val="en-GB"/>
          <w14:ligatures w14:val="none"/>
        </w:rPr>
        <w:t>]. Direct powder printing has also been demonstrated, bypassing traditional formulation steps to accelerate tablet production [</w:t>
      </w:r>
      <w:r w:rsidR="00422683">
        <w:rPr>
          <w:rFonts w:ascii="Arial" w:eastAsia="Calibri" w:hAnsi="Arial" w:cs="Calibri"/>
          <w:kern w:val="0"/>
          <w:sz w:val="20"/>
          <w:szCs w:val="20"/>
          <w:lang w:val="en-GB"/>
          <w14:ligatures w14:val="none"/>
        </w:rPr>
        <w:t>4</w:t>
      </w:r>
      <w:r w:rsidR="00087E4A" w:rsidRPr="00087E4A">
        <w:rPr>
          <w:rFonts w:ascii="Arial" w:eastAsia="Calibri" w:hAnsi="Arial" w:cs="Calibri"/>
          <w:kern w:val="0"/>
          <w:sz w:val="20"/>
          <w:szCs w:val="20"/>
          <w:lang w:val="en-GB"/>
          <w14:ligatures w14:val="none"/>
        </w:rPr>
        <w:t>]. Across these applications, dosage uniformity remained within ±5%, with feature fidelity below 300 µm, highlighting the platform’s suitability for precision medicine.</w:t>
      </w:r>
    </w:p>
    <w:p w14:paraId="37683296" w14:textId="77777777" w:rsidR="00C315D2" w:rsidRPr="005C76C0" w:rsidRDefault="00C315D2" w:rsidP="00C315D2">
      <w:pPr>
        <w:spacing w:after="0" w:line="240" w:lineRule="auto"/>
        <w:jc w:val="both"/>
        <w:rPr>
          <w:rFonts w:ascii="Arial" w:eastAsia="Calibri" w:hAnsi="Arial" w:cs="Calibri"/>
          <w:b/>
          <w:kern w:val="0"/>
          <w:sz w:val="20"/>
          <w:szCs w:val="20"/>
          <w:lang w:val="en-GB"/>
          <w14:ligatures w14:val="none"/>
        </w:rPr>
      </w:pPr>
    </w:p>
    <w:p w14:paraId="59FF4F0F" w14:textId="4BD13AEC" w:rsidR="00315CA7" w:rsidRDefault="00B8473A" w:rsidP="00C315D2">
      <w:pPr>
        <w:spacing w:after="0" w:line="240" w:lineRule="auto"/>
        <w:jc w:val="both"/>
        <w:rPr>
          <w:rFonts w:ascii="Arial" w:eastAsia="Calibri" w:hAnsi="Arial" w:cs="Calibri"/>
          <w:bCs/>
          <w:kern w:val="0"/>
          <w:sz w:val="20"/>
          <w:szCs w:val="20"/>
          <w:lang w:val="en-GB"/>
          <w14:ligatures w14:val="none"/>
        </w:rPr>
      </w:pPr>
      <w:r w:rsidRPr="005C76C0">
        <w:rPr>
          <w:rFonts w:ascii="Arial" w:eastAsia="Calibri" w:hAnsi="Arial" w:cs="Calibri"/>
          <w:b/>
          <w:kern w:val="0"/>
          <w:sz w:val="20"/>
          <w:szCs w:val="20"/>
          <w:lang w:val="en-GB"/>
          <w14:ligatures w14:val="none"/>
        </w:rPr>
        <w:t>Conclusion/</w:t>
      </w:r>
      <w:r w:rsidR="00C315D2" w:rsidRPr="005C76C0">
        <w:rPr>
          <w:rFonts w:ascii="Arial" w:eastAsia="Calibri" w:hAnsi="Arial" w:cs="Calibri"/>
          <w:b/>
          <w:kern w:val="0"/>
          <w:sz w:val="20"/>
          <w:szCs w:val="20"/>
          <w:lang w:val="en-GB"/>
          <w14:ligatures w14:val="none"/>
        </w:rPr>
        <w:t>Discussion.</w:t>
      </w:r>
      <w:r w:rsidR="00C315D2" w:rsidRPr="005C76C0">
        <w:rPr>
          <w:rFonts w:ascii="Arial" w:eastAsia="Calibri" w:hAnsi="Arial" w:cs="Calibri"/>
          <w:bCs/>
          <w:kern w:val="0"/>
          <w:sz w:val="20"/>
          <w:szCs w:val="20"/>
          <w:lang w:val="en-GB"/>
          <w14:ligatures w14:val="none"/>
        </w:rPr>
        <w:t xml:space="preserve"> </w:t>
      </w:r>
      <w:r w:rsidR="00315CA7" w:rsidRPr="00315CA7">
        <w:rPr>
          <w:rFonts w:ascii="Arial" w:eastAsia="Calibri" w:hAnsi="Arial" w:cs="Calibri"/>
          <w:bCs/>
          <w:kern w:val="0"/>
          <w:sz w:val="20"/>
          <w:szCs w:val="20"/>
          <w:lang w:val="en-GB"/>
          <w14:ligatures w14:val="none"/>
        </w:rPr>
        <w:t xml:space="preserve">REGENHU’s </w:t>
      </w:r>
      <w:r w:rsidR="00B1105B">
        <w:rPr>
          <w:rFonts w:ascii="Arial" w:eastAsia="Calibri" w:hAnsi="Arial" w:cs="Calibri"/>
          <w:bCs/>
          <w:kern w:val="0"/>
          <w:sz w:val="20"/>
          <w:szCs w:val="20"/>
          <w:lang w:val="en-GB"/>
          <w14:ligatures w14:val="none"/>
        </w:rPr>
        <w:t>versatile</w:t>
      </w:r>
      <w:r w:rsidR="00315CA7" w:rsidRPr="00315CA7">
        <w:rPr>
          <w:rFonts w:ascii="Arial" w:eastAsia="Calibri" w:hAnsi="Arial" w:cs="Calibri"/>
          <w:bCs/>
          <w:kern w:val="0"/>
          <w:sz w:val="20"/>
          <w:szCs w:val="20"/>
          <w:lang w:val="en-GB"/>
          <w14:ligatures w14:val="none"/>
        </w:rPr>
        <w:t xml:space="preserve"> printing platforms support advanced pharmaceutical development by combining </w:t>
      </w:r>
      <w:r w:rsidR="00967C92">
        <w:rPr>
          <w:rFonts w:ascii="Arial" w:eastAsia="Calibri" w:hAnsi="Arial" w:cs="Calibri"/>
          <w:bCs/>
          <w:kern w:val="0"/>
          <w:sz w:val="20"/>
          <w:szCs w:val="20"/>
          <w:lang w:val="en-GB"/>
          <w14:ligatures w14:val="none"/>
        </w:rPr>
        <w:t xml:space="preserve">multiple </w:t>
      </w:r>
      <w:r w:rsidR="00A52F9F">
        <w:rPr>
          <w:rFonts w:ascii="Arial" w:eastAsia="Calibri" w:hAnsi="Arial" w:cs="Calibri"/>
          <w:bCs/>
          <w:kern w:val="0"/>
          <w:sz w:val="20"/>
          <w:szCs w:val="20"/>
          <w:lang w:val="en-GB"/>
          <w14:ligatures w14:val="none"/>
        </w:rPr>
        <w:t xml:space="preserve">bioprinting </w:t>
      </w:r>
      <w:r w:rsidR="00967C92">
        <w:rPr>
          <w:rFonts w:ascii="Arial" w:eastAsia="Calibri" w:hAnsi="Arial" w:cs="Calibri"/>
          <w:bCs/>
          <w:kern w:val="0"/>
          <w:sz w:val="20"/>
          <w:szCs w:val="20"/>
          <w:lang w:val="en-GB"/>
          <w14:ligatures w14:val="none"/>
        </w:rPr>
        <w:t>technologies</w:t>
      </w:r>
      <w:r w:rsidR="007474DC">
        <w:rPr>
          <w:rFonts w:ascii="Arial" w:eastAsia="Calibri" w:hAnsi="Arial" w:cs="Calibri"/>
          <w:bCs/>
          <w:kern w:val="0"/>
          <w:sz w:val="20"/>
          <w:szCs w:val="20"/>
          <w:lang w:val="en-GB"/>
          <w14:ligatures w14:val="none"/>
        </w:rPr>
        <w:t>,</w:t>
      </w:r>
      <w:r w:rsidR="00791F6B">
        <w:rPr>
          <w:rFonts w:ascii="Arial" w:eastAsia="Calibri" w:hAnsi="Arial" w:cs="Calibri"/>
          <w:bCs/>
          <w:kern w:val="0"/>
          <w:sz w:val="20"/>
          <w:szCs w:val="20"/>
          <w:lang w:val="en-GB"/>
          <w14:ligatures w14:val="none"/>
        </w:rPr>
        <w:t xml:space="preserve"> such as </w:t>
      </w:r>
      <w:r w:rsidR="00791F6B" w:rsidRPr="00791F6B">
        <w:rPr>
          <w:rFonts w:ascii="Arial" w:eastAsia="Calibri" w:hAnsi="Arial" w:cs="Calibri"/>
          <w:bCs/>
          <w:kern w:val="0"/>
          <w:sz w:val="20"/>
          <w:szCs w:val="20"/>
          <w:lang w:val="en-GB"/>
          <w14:ligatures w14:val="none"/>
        </w:rPr>
        <w:t>pneumatic and thermal extrusion, multiple material printing, and intuitive geometry-driven software</w:t>
      </w:r>
      <w:r w:rsidR="00315CA7" w:rsidRPr="00315CA7">
        <w:rPr>
          <w:rFonts w:ascii="Arial" w:eastAsia="Calibri" w:hAnsi="Arial" w:cs="Calibri"/>
          <w:bCs/>
          <w:kern w:val="0"/>
          <w:sz w:val="20"/>
          <w:szCs w:val="20"/>
          <w:lang w:val="en-GB"/>
          <w14:ligatures w14:val="none"/>
        </w:rPr>
        <w:t xml:space="preserve"> in</w:t>
      </w:r>
      <w:r w:rsidR="00843A73">
        <w:rPr>
          <w:rFonts w:ascii="Arial" w:eastAsia="Calibri" w:hAnsi="Arial" w:cs="Calibri"/>
          <w:bCs/>
          <w:kern w:val="0"/>
          <w:sz w:val="20"/>
          <w:szCs w:val="20"/>
          <w:lang w:val="en-GB"/>
          <w14:ligatures w14:val="none"/>
        </w:rPr>
        <w:t xml:space="preserve">to </w:t>
      </w:r>
      <w:r w:rsidR="00315CA7" w:rsidRPr="00315CA7">
        <w:rPr>
          <w:rFonts w:ascii="Arial" w:eastAsia="Calibri" w:hAnsi="Arial" w:cs="Calibri"/>
          <w:bCs/>
          <w:kern w:val="0"/>
          <w:sz w:val="20"/>
          <w:szCs w:val="20"/>
          <w:lang w:val="en-GB"/>
          <w14:ligatures w14:val="none"/>
        </w:rPr>
        <w:t xml:space="preserve">a </w:t>
      </w:r>
      <w:r w:rsidR="00843A73">
        <w:rPr>
          <w:rFonts w:ascii="Arial" w:eastAsia="Calibri" w:hAnsi="Arial" w:cs="Calibri"/>
          <w:bCs/>
          <w:kern w:val="0"/>
          <w:sz w:val="20"/>
          <w:szCs w:val="20"/>
          <w:lang w:val="en-GB"/>
          <w14:ligatures w14:val="none"/>
        </w:rPr>
        <w:t xml:space="preserve">single </w:t>
      </w:r>
      <w:r w:rsidR="00315CA7" w:rsidRPr="00315CA7">
        <w:rPr>
          <w:rFonts w:ascii="Arial" w:eastAsia="Calibri" w:hAnsi="Arial" w:cs="Calibri"/>
          <w:bCs/>
          <w:kern w:val="0"/>
          <w:sz w:val="20"/>
          <w:szCs w:val="20"/>
          <w:lang w:val="en-GB"/>
          <w14:ligatures w14:val="none"/>
        </w:rPr>
        <w:t xml:space="preserve">configurable </w:t>
      </w:r>
      <w:r w:rsidR="00843A73">
        <w:rPr>
          <w:rFonts w:ascii="Arial" w:eastAsia="Calibri" w:hAnsi="Arial" w:cs="Calibri"/>
          <w:bCs/>
          <w:kern w:val="0"/>
          <w:sz w:val="20"/>
          <w:szCs w:val="20"/>
          <w:lang w:val="en-GB"/>
          <w14:ligatures w14:val="none"/>
        </w:rPr>
        <w:t>platform</w:t>
      </w:r>
      <w:r w:rsidR="00315CA7" w:rsidRPr="00315CA7">
        <w:rPr>
          <w:rFonts w:ascii="Arial" w:eastAsia="Calibri" w:hAnsi="Arial" w:cs="Calibri"/>
          <w:bCs/>
          <w:kern w:val="0"/>
          <w:sz w:val="20"/>
          <w:szCs w:val="20"/>
          <w:lang w:val="en-GB"/>
          <w14:ligatures w14:val="none"/>
        </w:rPr>
        <w:t>. Their ability to process pastes, powders, and multiple APIs within complex geometries makes them suitable for point-of-care or small-batch personalized tablet production. These studies highlight the role such platforms can play in transitioning personalized pharmaceuticals from concept to practice.</w:t>
      </w:r>
    </w:p>
    <w:p w14:paraId="1AF10CAD" w14:textId="77777777" w:rsidR="00C315D2" w:rsidRPr="005C76C0" w:rsidRDefault="00C315D2" w:rsidP="00C315D2">
      <w:pPr>
        <w:spacing w:after="0" w:line="240" w:lineRule="auto"/>
        <w:jc w:val="both"/>
        <w:rPr>
          <w:rFonts w:ascii="Arial" w:eastAsia="Calibri" w:hAnsi="Arial" w:cs="Calibri"/>
          <w:b/>
          <w:kern w:val="0"/>
          <w:sz w:val="20"/>
          <w:szCs w:val="20"/>
          <w:lang w:val="en-GB"/>
          <w14:ligatures w14:val="none"/>
        </w:rPr>
      </w:pPr>
    </w:p>
    <w:p w14:paraId="2C801966" w14:textId="06971DC8" w:rsidR="00C315D2" w:rsidRPr="005C76C0" w:rsidRDefault="00C315D2" w:rsidP="00C315D2">
      <w:pPr>
        <w:spacing w:after="0" w:line="240" w:lineRule="auto"/>
        <w:jc w:val="both"/>
        <w:rPr>
          <w:rFonts w:ascii="Arial" w:eastAsia="Calibri" w:hAnsi="Arial" w:cs="Calibri"/>
          <w:bCs/>
          <w:kern w:val="0"/>
          <w:sz w:val="20"/>
          <w:szCs w:val="20"/>
          <w:lang w:val="en-GB"/>
          <w14:ligatures w14:val="none"/>
        </w:rPr>
      </w:pPr>
      <w:r w:rsidRPr="005C76C0">
        <w:rPr>
          <w:rFonts w:ascii="Arial" w:eastAsia="Calibri" w:hAnsi="Arial" w:cs="Calibri"/>
          <w:b/>
          <w:kern w:val="0"/>
          <w:sz w:val="20"/>
          <w:szCs w:val="20"/>
          <w:lang w:val="en-GB"/>
          <w14:ligatures w14:val="none"/>
        </w:rPr>
        <w:t>References:</w:t>
      </w:r>
      <w:r w:rsidRPr="005C76C0">
        <w:rPr>
          <w:rFonts w:ascii="Arial" w:eastAsia="Calibri" w:hAnsi="Arial" w:cs="Calibri"/>
          <w:bCs/>
          <w:kern w:val="0"/>
          <w:sz w:val="20"/>
          <w:szCs w:val="20"/>
          <w:lang w:val="en-GB"/>
          <w14:ligatures w14:val="none"/>
        </w:rPr>
        <w:t xml:space="preserve"> </w:t>
      </w:r>
    </w:p>
    <w:p w14:paraId="7D6E388F" w14:textId="422D9EBF" w:rsidR="00113BB7" w:rsidRPr="005C76C0" w:rsidRDefault="00C315D2" w:rsidP="003532E6">
      <w:pPr>
        <w:spacing w:after="0" w:line="240" w:lineRule="auto"/>
        <w:jc w:val="both"/>
        <w:rPr>
          <w:rFonts w:ascii="Arial" w:eastAsia="Calibri" w:hAnsi="Arial" w:cs="Calibri"/>
          <w:bCs/>
          <w:kern w:val="0"/>
          <w:sz w:val="20"/>
          <w:szCs w:val="20"/>
          <w:lang w:val="en-GB"/>
          <w14:ligatures w14:val="none"/>
        </w:rPr>
      </w:pPr>
      <w:r w:rsidRPr="009C70D1">
        <w:rPr>
          <w:rFonts w:ascii="Arial" w:eastAsia="Calibri" w:hAnsi="Arial" w:cs="Calibri"/>
          <w:bCs/>
          <w:kern w:val="0"/>
          <w:sz w:val="20"/>
          <w:szCs w:val="20"/>
          <w:lang w:val="en-US"/>
          <w14:ligatures w14:val="none"/>
        </w:rPr>
        <w:t>(</w:t>
      </w:r>
      <w:r w:rsidR="00422683" w:rsidRPr="009C70D1">
        <w:rPr>
          <w:rFonts w:ascii="Arial" w:eastAsia="Calibri" w:hAnsi="Arial" w:cs="Calibri"/>
          <w:bCs/>
          <w:kern w:val="0"/>
          <w:sz w:val="20"/>
          <w:szCs w:val="20"/>
          <w:lang w:val="en-US"/>
          <w14:ligatures w14:val="none"/>
        </w:rPr>
        <w:t>1</w:t>
      </w:r>
      <w:r w:rsidRPr="009C70D1">
        <w:rPr>
          <w:rFonts w:ascii="Arial" w:eastAsia="Calibri" w:hAnsi="Arial" w:cs="Calibri"/>
          <w:bCs/>
          <w:kern w:val="0"/>
          <w:sz w:val="20"/>
          <w:szCs w:val="20"/>
          <w:lang w:val="en-US"/>
          <w14:ligatures w14:val="none"/>
        </w:rPr>
        <w:t>)</w:t>
      </w:r>
      <w:r w:rsidR="00A42518" w:rsidRPr="009C70D1">
        <w:rPr>
          <w:rFonts w:ascii="Arial" w:eastAsia="Calibri" w:hAnsi="Arial" w:cs="Calibri"/>
          <w:bCs/>
          <w:kern w:val="0"/>
          <w:sz w:val="20"/>
          <w:szCs w:val="20"/>
          <w:lang w:val="en-US"/>
          <w14:ligatures w14:val="none"/>
        </w:rPr>
        <w:t xml:space="preserve"> </w:t>
      </w:r>
      <w:r w:rsidR="006E7F83" w:rsidRPr="009C70D1">
        <w:rPr>
          <w:rFonts w:ascii="Arial" w:eastAsia="Calibri" w:hAnsi="Arial" w:cs="Calibri"/>
          <w:bCs/>
          <w:kern w:val="0"/>
          <w:sz w:val="20"/>
          <w:szCs w:val="20"/>
          <w:lang w:val="en-US"/>
          <w14:ligatures w14:val="none"/>
        </w:rPr>
        <w:t xml:space="preserve">Khaled, S.A. et al. </w:t>
      </w:r>
      <w:r w:rsidR="006E7F83" w:rsidRPr="005C76C0">
        <w:rPr>
          <w:rFonts w:ascii="Arial" w:eastAsia="Calibri" w:hAnsi="Arial" w:cs="Calibri"/>
          <w:bCs/>
          <w:kern w:val="0"/>
          <w:sz w:val="20"/>
          <w:szCs w:val="20"/>
          <w:lang w:val="en-GB"/>
          <w14:ligatures w14:val="none"/>
        </w:rPr>
        <w:t>(2015) J. Controlled Release 217:308–314</w:t>
      </w:r>
    </w:p>
    <w:p w14:paraId="48103F38" w14:textId="286530CB" w:rsidR="00A42518" w:rsidRPr="005C76C0" w:rsidRDefault="00A42518" w:rsidP="003532E6">
      <w:pPr>
        <w:spacing w:after="0" w:line="240" w:lineRule="auto"/>
        <w:jc w:val="both"/>
        <w:rPr>
          <w:rFonts w:ascii="Arial" w:eastAsia="Calibri" w:hAnsi="Arial" w:cs="Calibri"/>
          <w:bCs/>
          <w:kern w:val="0"/>
          <w:sz w:val="20"/>
          <w:szCs w:val="20"/>
          <w:lang w:val="en-GB"/>
          <w14:ligatures w14:val="none"/>
        </w:rPr>
      </w:pPr>
      <w:r w:rsidRPr="009C70D1">
        <w:rPr>
          <w:rFonts w:ascii="Arial" w:eastAsia="Calibri" w:hAnsi="Arial" w:cs="Calibri"/>
          <w:bCs/>
          <w:kern w:val="0"/>
          <w:sz w:val="20"/>
          <w:szCs w:val="20"/>
          <w:lang w:val="nl-NL"/>
          <w14:ligatures w14:val="none"/>
        </w:rPr>
        <w:t>(</w:t>
      </w:r>
      <w:r w:rsidR="00422683" w:rsidRPr="009C70D1">
        <w:rPr>
          <w:rFonts w:ascii="Arial" w:eastAsia="Calibri" w:hAnsi="Arial" w:cs="Calibri"/>
          <w:bCs/>
          <w:kern w:val="0"/>
          <w:sz w:val="20"/>
          <w:szCs w:val="20"/>
          <w:lang w:val="nl-NL"/>
          <w14:ligatures w14:val="none"/>
        </w:rPr>
        <w:t>2</w:t>
      </w:r>
      <w:r w:rsidRPr="009C70D1">
        <w:rPr>
          <w:rFonts w:ascii="Arial" w:eastAsia="Calibri" w:hAnsi="Arial" w:cs="Calibri"/>
          <w:bCs/>
          <w:kern w:val="0"/>
          <w:sz w:val="20"/>
          <w:szCs w:val="20"/>
          <w:lang w:val="nl-NL"/>
          <w14:ligatures w14:val="none"/>
        </w:rPr>
        <w:t xml:space="preserve">) </w:t>
      </w:r>
      <w:proofErr w:type="spellStart"/>
      <w:r w:rsidR="0074476F" w:rsidRPr="009C70D1">
        <w:rPr>
          <w:rFonts w:ascii="Arial" w:eastAsia="Calibri" w:hAnsi="Arial" w:cs="Calibri"/>
          <w:bCs/>
          <w:kern w:val="0"/>
          <w:sz w:val="20"/>
          <w:szCs w:val="20"/>
          <w:lang w:val="nl-NL"/>
          <w14:ligatures w14:val="none"/>
        </w:rPr>
        <w:t>Khaled</w:t>
      </w:r>
      <w:proofErr w:type="spellEnd"/>
      <w:r w:rsidR="0074476F" w:rsidRPr="009C70D1">
        <w:rPr>
          <w:rFonts w:ascii="Arial" w:eastAsia="Calibri" w:hAnsi="Arial" w:cs="Calibri"/>
          <w:bCs/>
          <w:kern w:val="0"/>
          <w:sz w:val="20"/>
          <w:szCs w:val="20"/>
          <w:lang w:val="nl-NL"/>
          <w14:ligatures w14:val="none"/>
        </w:rPr>
        <w:t xml:space="preserve">, S.A. et al. </w:t>
      </w:r>
      <w:r w:rsidR="0074476F" w:rsidRPr="005C76C0">
        <w:rPr>
          <w:rFonts w:ascii="Arial" w:eastAsia="Calibri" w:hAnsi="Arial" w:cs="Calibri"/>
          <w:bCs/>
          <w:kern w:val="0"/>
          <w:sz w:val="20"/>
          <w:szCs w:val="20"/>
          <w:lang w:val="en-GB"/>
          <w14:ligatures w14:val="none"/>
        </w:rPr>
        <w:t xml:space="preserve">(2018a) </w:t>
      </w:r>
      <w:r w:rsidR="0074476F" w:rsidRPr="005C76C0">
        <w:rPr>
          <w:rFonts w:ascii="Arial" w:eastAsia="Calibri" w:hAnsi="Arial" w:cs="Calibri"/>
          <w:bCs/>
          <w:i/>
          <w:iCs/>
          <w:kern w:val="0"/>
          <w:sz w:val="20"/>
          <w:szCs w:val="20"/>
          <w:lang w:val="en-GB"/>
          <w14:ligatures w14:val="none"/>
        </w:rPr>
        <w:t xml:space="preserve">AAPS </w:t>
      </w:r>
      <w:proofErr w:type="spellStart"/>
      <w:r w:rsidR="0074476F" w:rsidRPr="005C76C0">
        <w:rPr>
          <w:rFonts w:ascii="Arial" w:eastAsia="Calibri" w:hAnsi="Arial" w:cs="Calibri"/>
          <w:bCs/>
          <w:i/>
          <w:iCs/>
          <w:kern w:val="0"/>
          <w:sz w:val="20"/>
          <w:szCs w:val="20"/>
          <w:lang w:val="en-GB"/>
          <w14:ligatures w14:val="none"/>
        </w:rPr>
        <w:t>PharmSciTech</w:t>
      </w:r>
      <w:proofErr w:type="spellEnd"/>
      <w:r w:rsidR="0074476F" w:rsidRPr="005C76C0">
        <w:rPr>
          <w:rFonts w:ascii="Arial" w:eastAsia="Calibri" w:hAnsi="Arial" w:cs="Calibri"/>
          <w:bCs/>
          <w:kern w:val="0"/>
          <w:sz w:val="20"/>
          <w:szCs w:val="20"/>
          <w:lang w:val="en-GB"/>
          <w14:ligatures w14:val="none"/>
        </w:rPr>
        <w:t xml:space="preserve"> 19:3403–3413</w:t>
      </w:r>
    </w:p>
    <w:p w14:paraId="62B67BD2" w14:textId="1F9AA895" w:rsidR="0074476F" w:rsidRPr="009C70D1" w:rsidRDefault="0074476F" w:rsidP="003532E6">
      <w:pPr>
        <w:spacing w:after="0" w:line="240" w:lineRule="auto"/>
        <w:jc w:val="both"/>
        <w:rPr>
          <w:rFonts w:ascii="Arial" w:eastAsia="Calibri" w:hAnsi="Arial" w:cs="Calibri"/>
          <w:bCs/>
          <w:kern w:val="0"/>
          <w:sz w:val="20"/>
          <w:szCs w:val="20"/>
          <w:lang w:val="fr-CH"/>
          <w14:ligatures w14:val="none"/>
        </w:rPr>
      </w:pPr>
      <w:r w:rsidRPr="009C70D1">
        <w:rPr>
          <w:rFonts w:ascii="Arial" w:eastAsia="Calibri" w:hAnsi="Arial" w:cs="Calibri"/>
          <w:bCs/>
          <w:kern w:val="0"/>
          <w:sz w:val="20"/>
          <w:szCs w:val="20"/>
          <w:lang w:val="en-US"/>
          <w14:ligatures w14:val="none"/>
        </w:rPr>
        <w:t>(</w:t>
      </w:r>
      <w:r w:rsidR="00422683" w:rsidRPr="009C70D1">
        <w:rPr>
          <w:rFonts w:ascii="Arial" w:eastAsia="Calibri" w:hAnsi="Arial" w:cs="Calibri"/>
          <w:bCs/>
          <w:kern w:val="0"/>
          <w:sz w:val="20"/>
          <w:szCs w:val="20"/>
          <w:lang w:val="en-US"/>
          <w14:ligatures w14:val="none"/>
        </w:rPr>
        <w:t>3</w:t>
      </w:r>
      <w:r w:rsidRPr="009C70D1">
        <w:rPr>
          <w:rFonts w:ascii="Arial" w:eastAsia="Calibri" w:hAnsi="Arial" w:cs="Calibri"/>
          <w:bCs/>
          <w:kern w:val="0"/>
          <w:sz w:val="20"/>
          <w:szCs w:val="20"/>
          <w:lang w:val="en-US"/>
          <w14:ligatures w14:val="none"/>
        </w:rPr>
        <w:t xml:space="preserve">) </w:t>
      </w:r>
      <w:r w:rsidR="006E69CC" w:rsidRPr="009C70D1">
        <w:rPr>
          <w:rFonts w:ascii="Arial" w:eastAsia="Calibri" w:hAnsi="Arial" w:cs="Calibri"/>
          <w:bCs/>
          <w:kern w:val="0"/>
          <w:sz w:val="20"/>
          <w:szCs w:val="20"/>
          <w:lang w:val="en-US"/>
          <w14:ligatures w14:val="none"/>
        </w:rPr>
        <w:t xml:space="preserve">Khaled, S.A. et al. </w:t>
      </w:r>
      <w:r w:rsidR="006E69CC" w:rsidRPr="009C70D1">
        <w:rPr>
          <w:rFonts w:ascii="Arial" w:eastAsia="Calibri" w:hAnsi="Arial" w:cs="Calibri"/>
          <w:bCs/>
          <w:kern w:val="0"/>
          <w:sz w:val="20"/>
          <w:szCs w:val="20"/>
          <w:lang w:val="fr-CH"/>
          <w14:ligatures w14:val="none"/>
        </w:rPr>
        <w:t xml:space="preserve">(2018b) </w:t>
      </w:r>
      <w:r w:rsidR="006E69CC" w:rsidRPr="009C70D1">
        <w:rPr>
          <w:rFonts w:ascii="Arial" w:eastAsia="Calibri" w:hAnsi="Arial" w:cs="Calibri"/>
          <w:bCs/>
          <w:i/>
          <w:iCs/>
          <w:kern w:val="0"/>
          <w:sz w:val="20"/>
          <w:szCs w:val="20"/>
          <w:lang w:val="fr-CH"/>
          <w14:ligatures w14:val="none"/>
        </w:rPr>
        <w:t>Int. J. Pharm.</w:t>
      </w:r>
      <w:r w:rsidR="006E69CC" w:rsidRPr="009C70D1">
        <w:rPr>
          <w:rFonts w:ascii="Arial" w:eastAsia="Calibri" w:hAnsi="Arial" w:cs="Calibri"/>
          <w:bCs/>
          <w:kern w:val="0"/>
          <w:sz w:val="20"/>
          <w:szCs w:val="20"/>
          <w:lang w:val="fr-CH"/>
          <w14:ligatures w14:val="none"/>
        </w:rPr>
        <w:t xml:space="preserve"> 538:223–230</w:t>
      </w:r>
    </w:p>
    <w:p w14:paraId="172D976C" w14:textId="04BE8C8C" w:rsidR="005C76C0" w:rsidRPr="005C76C0" w:rsidRDefault="005C76C0" w:rsidP="003532E6">
      <w:pPr>
        <w:spacing w:after="0" w:line="240" w:lineRule="auto"/>
        <w:jc w:val="both"/>
        <w:rPr>
          <w:rFonts w:ascii="Arial" w:eastAsia="Calibri" w:hAnsi="Arial" w:cs="Calibri"/>
          <w:bCs/>
          <w:kern w:val="0"/>
          <w:sz w:val="20"/>
          <w:szCs w:val="20"/>
          <w:lang w:val="en-GB"/>
          <w14:ligatures w14:val="none"/>
        </w:rPr>
      </w:pPr>
      <w:r w:rsidRPr="009C70D1">
        <w:rPr>
          <w:rFonts w:ascii="Arial" w:eastAsia="Calibri" w:hAnsi="Arial" w:cs="Calibri"/>
          <w:bCs/>
          <w:kern w:val="0"/>
          <w:sz w:val="20"/>
          <w:szCs w:val="20"/>
          <w:lang w:val="fr-CH"/>
          <w14:ligatures w14:val="none"/>
        </w:rPr>
        <w:t>(</w:t>
      </w:r>
      <w:r w:rsidR="00422683" w:rsidRPr="009C70D1">
        <w:rPr>
          <w:rFonts w:ascii="Arial" w:eastAsia="Calibri" w:hAnsi="Arial" w:cs="Calibri"/>
          <w:bCs/>
          <w:kern w:val="0"/>
          <w:sz w:val="20"/>
          <w:szCs w:val="20"/>
          <w:lang w:val="fr-CH"/>
          <w14:ligatures w14:val="none"/>
        </w:rPr>
        <w:t>4</w:t>
      </w:r>
      <w:r w:rsidRPr="009C70D1">
        <w:rPr>
          <w:rFonts w:ascii="Arial" w:eastAsia="Calibri" w:hAnsi="Arial" w:cs="Calibri"/>
          <w:bCs/>
          <w:kern w:val="0"/>
          <w:sz w:val="20"/>
          <w:szCs w:val="20"/>
          <w:lang w:val="fr-CH"/>
          <w14:ligatures w14:val="none"/>
        </w:rPr>
        <w:t xml:space="preserve">) </w:t>
      </w:r>
      <w:proofErr w:type="spellStart"/>
      <w:r w:rsidRPr="009C70D1">
        <w:rPr>
          <w:rFonts w:ascii="Arial" w:eastAsia="Calibri" w:hAnsi="Arial" w:cs="Calibri"/>
          <w:bCs/>
          <w:kern w:val="0"/>
          <w:sz w:val="20"/>
          <w:szCs w:val="20"/>
          <w:lang w:val="fr-CH"/>
          <w14:ligatures w14:val="none"/>
        </w:rPr>
        <w:t>Fanous</w:t>
      </w:r>
      <w:proofErr w:type="spellEnd"/>
      <w:r w:rsidRPr="009C70D1">
        <w:rPr>
          <w:rFonts w:ascii="Arial" w:eastAsia="Calibri" w:hAnsi="Arial" w:cs="Calibri"/>
          <w:bCs/>
          <w:kern w:val="0"/>
          <w:sz w:val="20"/>
          <w:szCs w:val="20"/>
          <w:lang w:val="fr-CH"/>
          <w14:ligatures w14:val="none"/>
        </w:rPr>
        <w:t xml:space="preserve">, M. et al. </w:t>
      </w:r>
      <w:r w:rsidRPr="005C76C0">
        <w:rPr>
          <w:rFonts w:ascii="Arial" w:eastAsia="Calibri" w:hAnsi="Arial" w:cs="Calibri"/>
          <w:bCs/>
          <w:kern w:val="0"/>
          <w:sz w:val="20"/>
          <w:szCs w:val="20"/>
          <w:lang w:val="en-GB"/>
          <w14:ligatures w14:val="none"/>
        </w:rPr>
        <w:t xml:space="preserve">(2020) </w:t>
      </w:r>
      <w:r w:rsidRPr="005C76C0">
        <w:rPr>
          <w:rFonts w:ascii="Arial" w:eastAsia="Calibri" w:hAnsi="Arial" w:cs="Calibri"/>
          <w:bCs/>
          <w:i/>
          <w:iCs/>
          <w:kern w:val="0"/>
          <w:sz w:val="20"/>
          <w:szCs w:val="20"/>
          <w:lang w:val="en-GB"/>
          <w14:ligatures w14:val="none"/>
        </w:rPr>
        <w:t>Int. J. Pharm.</w:t>
      </w:r>
      <w:r w:rsidRPr="005C76C0">
        <w:rPr>
          <w:rFonts w:ascii="Arial" w:eastAsia="Calibri" w:hAnsi="Arial" w:cs="Calibri"/>
          <w:bCs/>
          <w:kern w:val="0"/>
          <w:sz w:val="20"/>
          <w:szCs w:val="20"/>
          <w:lang w:val="en-GB"/>
          <w14:ligatures w14:val="none"/>
        </w:rPr>
        <w:t xml:space="preserve"> 578:119124</w:t>
      </w:r>
    </w:p>
    <w:sectPr w:rsidR="005C76C0" w:rsidRPr="005C7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812"/>
    <w:multiLevelType w:val="hybridMultilevel"/>
    <w:tmpl w:val="C2B4253C"/>
    <w:lvl w:ilvl="0" w:tplc="D9E00DB2">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51037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049A2"/>
    <w:rsid w:val="00013F3A"/>
    <w:rsid w:val="00022033"/>
    <w:rsid w:val="00022C1E"/>
    <w:rsid w:val="00023E86"/>
    <w:rsid w:val="0002510D"/>
    <w:rsid w:val="00036859"/>
    <w:rsid w:val="00043BDB"/>
    <w:rsid w:val="00043D9C"/>
    <w:rsid w:val="000441D6"/>
    <w:rsid w:val="000541CF"/>
    <w:rsid w:val="0005738D"/>
    <w:rsid w:val="0006390F"/>
    <w:rsid w:val="000819B9"/>
    <w:rsid w:val="00087E4A"/>
    <w:rsid w:val="00096016"/>
    <w:rsid w:val="000A630E"/>
    <w:rsid w:val="000B329C"/>
    <w:rsid w:val="000B5BD8"/>
    <w:rsid w:val="000C1B64"/>
    <w:rsid w:val="000C690F"/>
    <w:rsid w:val="000D3597"/>
    <w:rsid w:val="000D4135"/>
    <w:rsid w:val="000D6AB5"/>
    <w:rsid w:val="000E07AA"/>
    <w:rsid w:val="000E1E7A"/>
    <w:rsid w:val="000E2CA5"/>
    <w:rsid w:val="000E595B"/>
    <w:rsid w:val="000F4094"/>
    <w:rsid w:val="000F5394"/>
    <w:rsid w:val="00101E24"/>
    <w:rsid w:val="00105AC7"/>
    <w:rsid w:val="00107368"/>
    <w:rsid w:val="00113BB7"/>
    <w:rsid w:val="00115B0D"/>
    <w:rsid w:val="0012031A"/>
    <w:rsid w:val="001301A2"/>
    <w:rsid w:val="00136830"/>
    <w:rsid w:val="001416F2"/>
    <w:rsid w:val="00142664"/>
    <w:rsid w:val="0015480D"/>
    <w:rsid w:val="00162FA9"/>
    <w:rsid w:val="001658FD"/>
    <w:rsid w:val="0017533E"/>
    <w:rsid w:val="001845CD"/>
    <w:rsid w:val="001949E5"/>
    <w:rsid w:val="00195463"/>
    <w:rsid w:val="001A1348"/>
    <w:rsid w:val="001A2944"/>
    <w:rsid w:val="001C5B13"/>
    <w:rsid w:val="001D3C01"/>
    <w:rsid w:val="001E119D"/>
    <w:rsid w:val="001E3EE6"/>
    <w:rsid w:val="001E52BD"/>
    <w:rsid w:val="002017E6"/>
    <w:rsid w:val="002018D4"/>
    <w:rsid w:val="0020331F"/>
    <w:rsid w:val="002033C1"/>
    <w:rsid w:val="0021126B"/>
    <w:rsid w:val="00222772"/>
    <w:rsid w:val="002246F0"/>
    <w:rsid w:val="00227384"/>
    <w:rsid w:val="00251B94"/>
    <w:rsid w:val="00264C33"/>
    <w:rsid w:val="00271582"/>
    <w:rsid w:val="0027433B"/>
    <w:rsid w:val="00283434"/>
    <w:rsid w:val="00286737"/>
    <w:rsid w:val="002919FE"/>
    <w:rsid w:val="00294059"/>
    <w:rsid w:val="00296DB5"/>
    <w:rsid w:val="002A283C"/>
    <w:rsid w:val="002A3C34"/>
    <w:rsid w:val="002A4CC0"/>
    <w:rsid w:val="002B04F5"/>
    <w:rsid w:val="002B2ED1"/>
    <w:rsid w:val="002B352C"/>
    <w:rsid w:val="002B3D5C"/>
    <w:rsid w:val="002B7A67"/>
    <w:rsid w:val="002C6458"/>
    <w:rsid w:val="002D24AD"/>
    <w:rsid w:val="002D613D"/>
    <w:rsid w:val="002E3AF7"/>
    <w:rsid w:val="002E5430"/>
    <w:rsid w:val="002F2F5E"/>
    <w:rsid w:val="002F5CAE"/>
    <w:rsid w:val="002F6639"/>
    <w:rsid w:val="002F7CE5"/>
    <w:rsid w:val="0030364B"/>
    <w:rsid w:val="00303C2B"/>
    <w:rsid w:val="003074BB"/>
    <w:rsid w:val="00314A69"/>
    <w:rsid w:val="0031590E"/>
    <w:rsid w:val="00315CA7"/>
    <w:rsid w:val="003206E4"/>
    <w:rsid w:val="00322CA4"/>
    <w:rsid w:val="00326BE9"/>
    <w:rsid w:val="00331213"/>
    <w:rsid w:val="00333221"/>
    <w:rsid w:val="0033782A"/>
    <w:rsid w:val="00347CF5"/>
    <w:rsid w:val="003532E6"/>
    <w:rsid w:val="00357456"/>
    <w:rsid w:val="003632A8"/>
    <w:rsid w:val="00366A45"/>
    <w:rsid w:val="00377016"/>
    <w:rsid w:val="00381EF3"/>
    <w:rsid w:val="00396879"/>
    <w:rsid w:val="003A5EE6"/>
    <w:rsid w:val="003A6D5C"/>
    <w:rsid w:val="003B36E1"/>
    <w:rsid w:val="003C473B"/>
    <w:rsid w:val="003C7093"/>
    <w:rsid w:val="003C789B"/>
    <w:rsid w:val="003D2BAE"/>
    <w:rsid w:val="003D7883"/>
    <w:rsid w:val="003F177D"/>
    <w:rsid w:val="0040511E"/>
    <w:rsid w:val="00406823"/>
    <w:rsid w:val="00407531"/>
    <w:rsid w:val="004078D4"/>
    <w:rsid w:val="00422683"/>
    <w:rsid w:val="00431DA3"/>
    <w:rsid w:val="00433674"/>
    <w:rsid w:val="00446619"/>
    <w:rsid w:val="00452EE8"/>
    <w:rsid w:val="00455387"/>
    <w:rsid w:val="004562BA"/>
    <w:rsid w:val="004574FB"/>
    <w:rsid w:val="004705A7"/>
    <w:rsid w:val="00474E4A"/>
    <w:rsid w:val="00476254"/>
    <w:rsid w:val="00490B7D"/>
    <w:rsid w:val="004A27F1"/>
    <w:rsid w:val="004A51B6"/>
    <w:rsid w:val="004B40D1"/>
    <w:rsid w:val="004B7A2F"/>
    <w:rsid w:val="004C1E3B"/>
    <w:rsid w:val="004D0620"/>
    <w:rsid w:val="004E7277"/>
    <w:rsid w:val="004E740E"/>
    <w:rsid w:val="004F103D"/>
    <w:rsid w:val="004F43FF"/>
    <w:rsid w:val="00503F1F"/>
    <w:rsid w:val="00507643"/>
    <w:rsid w:val="00510CF8"/>
    <w:rsid w:val="00513432"/>
    <w:rsid w:val="00513536"/>
    <w:rsid w:val="00530D1F"/>
    <w:rsid w:val="005314F7"/>
    <w:rsid w:val="00532880"/>
    <w:rsid w:val="005330F2"/>
    <w:rsid w:val="00537BA6"/>
    <w:rsid w:val="00540EF6"/>
    <w:rsid w:val="0054191F"/>
    <w:rsid w:val="005421F9"/>
    <w:rsid w:val="00555D8F"/>
    <w:rsid w:val="0055778C"/>
    <w:rsid w:val="00567D90"/>
    <w:rsid w:val="00575A29"/>
    <w:rsid w:val="005A44C9"/>
    <w:rsid w:val="005A70FF"/>
    <w:rsid w:val="005C76C0"/>
    <w:rsid w:val="005D47C3"/>
    <w:rsid w:val="005D4FED"/>
    <w:rsid w:val="00601754"/>
    <w:rsid w:val="00611B92"/>
    <w:rsid w:val="00612D67"/>
    <w:rsid w:val="0061609C"/>
    <w:rsid w:val="00620269"/>
    <w:rsid w:val="00644DAE"/>
    <w:rsid w:val="00660D6F"/>
    <w:rsid w:val="006618CC"/>
    <w:rsid w:val="006631AB"/>
    <w:rsid w:val="00673088"/>
    <w:rsid w:val="00685A0E"/>
    <w:rsid w:val="006A34BE"/>
    <w:rsid w:val="006C6020"/>
    <w:rsid w:val="006C6255"/>
    <w:rsid w:val="006D3C0F"/>
    <w:rsid w:val="006D4B80"/>
    <w:rsid w:val="006E01B4"/>
    <w:rsid w:val="006E69CC"/>
    <w:rsid w:val="006E7F83"/>
    <w:rsid w:val="006F20E8"/>
    <w:rsid w:val="006F2F18"/>
    <w:rsid w:val="006F3F1C"/>
    <w:rsid w:val="006F555C"/>
    <w:rsid w:val="006F64F0"/>
    <w:rsid w:val="0070376D"/>
    <w:rsid w:val="007112FA"/>
    <w:rsid w:val="007141F2"/>
    <w:rsid w:val="007243EA"/>
    <w:rsid w:val="00731E05"/>
    <w:rsid w:val="0074476F"/>
    <w:rsid w:val="00745243"/>
    <w:rsid w:val="007459F9"/>
    <w:rsid w:val="00746E91"/>
    <w:rsid w:val="007474DC"/>
    <w:rsid w:val="00753354"/>
    <w:rsid w:val="007561D8"/>
    <w:rsid w:val="00760127"/>
    <w:rsid w:val="007709D7"/>
    <w:rsid w:val="00786EF0"/>
    <w:rsid w:val="00791F6B"/>
    <w:rsid w:val="00795378"/>
    <w:rsid w:val="00795E45"/>
    <w:rsid w:val="00796206"/>
    <w:rsid w:val="007975CE"/>
    <w:rsid w:val="007B63B9"/>
    <w:rsid w:val="007C0808"/>
    <w:rsid w:val="007C367E"/>
    <w:rsid w:val="007D0F8D"/>
    <w:rsid w:val="007D35D3"/>
    <w:rsid w:val="007E0114"/>
    <w:rsid w:val="007E2B00"/>
    <w:rsid w:val="007F04AE"/>
    <w:rsid w:val="007F4557"/>
    <w:rsid w:val="008071C5"/>
    <w:rsid w:val="0081169A"/>
    <w:rsid w:val="0081708E"/>
    <w:rsid w:val="0082034A"/>
    <w:rsid w:val="008239E6"/>
    <w:rsid w:val="00826060"/>
    <w:rsid w:val="00827546"/>
    <w:rsid w:val="00830C24"/>
    <w:rsid w:val="00831C24"/>
    <w:rsid w:val="00833BF7"/>
    <w:rsid w:val="00843284"/>
    <w:rsid w:val="00843A73"/>
    <w:rsid w:val="008524A2"/>
    <w:rsid w:val="00861194"/>
    <w:rsid w:val="008631F0"/>
    <w:rsid w:val="00865D32"/>
    <w:rsid w:val="00874222"/>
    <w:rsid w:val="00875A77"/>
    <w:rsid w:val="00881CCC"/>
    <w:rsid w:val="008959A5"/>
    <w:rsid w:val="00895A2C"/>
    <w:rsid w:val="00895C9F"/>
    <w:rsid w:val="008A4E93"/>
    <w:rsid w:val="008A7460"/>
    <w:rsid w:val="008B506A"/>
    <w:rsid w:val="008C31C7"/>
    <w:rsid w:val="008D46AD"/>
    <w:rsid w:val="008E464B"/>
    <w:rsid w:val="008F60DA"/>
    <w:rsid w:val="00906590"/>
    <w:rsid w:val="00906D34"/>
    <w:rsid w:val="00910024"/>
    <w:rsid w:val="00914D05"/>
    <w:rsid w:val="00930FF0"/>
    <w:rsid w:val="00933DC9"/>
    <w:rsid w:val="00936D4C"/>
    <w:rsid w:val="00942916"/>
    <w:rsid w:val="00943338"/>
    <w:rsid w:val="00943BB4"/>
    <w:rsid w:val="009476EB"/>
    <w:rsid w:val="009523F9"/>
    <w:rsid w:val="00952A0F"/>
    <w:rsid w:val="009535A6"/>
    <w:rsid w:val="0096368C"/>
    <w:rsid w:val="009650DF"/>
    <w:rsid w:val="00967239"/>
    <w:rsid w:val="00967C92"/>
    <w:rsid w:val="00971422"/>
    <w:rsid w:val="009728F2"/>
    <w:rsid w:val="00980194"/>
    <w:rsid w:val="00982BF7"/>
    <w:rsid w:val="00986B79"/>
    <w:rsid w:val="00991A20"/>
    <w:rsid w:val="00994F3C"/>
    <w:rsid w:val="00997515"/>
    <w:rsid w:val="009B1B7C"/>
    <w:rsid w:val="009B1CBB"/>
    <w:rsid w:val="009B49E2"/>
    <w:rsid w:val="009B4A31"/>
    <w:rsid w:val="009B51FD"/>
    <w:rsid w:val="009B5AC2"/>
    <w:rsid w:val="009C0C7C"/>
    <w:rsid w:val="009C4A88"/>
    <w:rsid w:val="009C532D"/>
    <w:rsid w:val="009C70D1"/>
    <w:rsid w:val="009C7C1D"/>
    <w:rsid w:val="009D4B67"/>
    <w:rsid w:val="009E1661"/>
    <w:rsid w:val="00A0516D"/>
    <w:rsid w:val="00A0786E"/>
    <w:rsid w:val="00A131F2"/>
    <w:rsid w:val="00A14AAA"/>
    <w:rsid w:val="00A171EF"/>
    <w:rsid w:val="00A322AB"/>
    <w:rsid w:val="00A33642"/>
    <w:rsid w:val="00A345AA"/>
    <w:rsid w:val="00A34C92"/>
    <w:rsid w:val="00A3581E"/>
    <w:rsid w:val="00A40975"/>
    <w:rsid w:val="00A42518"/>
    <w:rsid w:val="00A47483"/>
    <w:rsid w:val="00A52168"/>
    <w:rsid w:val="00A52F6D"/>
    <w:rsid w:val="00A52F9F"/>
    <w:rsid w:val="00A5784C"/>
    <w:rsid w:val="00A6174F"/>
    <w:rsid w:val="00A63C52"/>
    <w:rsid w:val="00A71656"/>
    <w:rsid w:val="00A82367"/>
    <w:rsid w:val="00A8311C"/>
    <w:rsid w:val="00A9048E"/>
    <w:rsid w:val="00A949EE"/>
    <w:rsid w:val="00AA0917"/>
    <w:rsid w:val="00AA1FEF"/>
    <w:rsid w:val="00AA7065"/>
    <w:rsid w:val="00AA7C81"/>
    <w:rsid w:val="00AA7DD2"/>
    <w:rsid w:val="00AB0721"/>
    <w:rsid w:val="00AB32CE"/>
    <w:rsid w:val="00AC09BB"/>
    <w:rsid w:val="00AC452D"/>
    <w:rsid w:val="00AD28ED"/>
    <w:rsid w:val="00AD4B27"/>
    <w:rsid w:val="00AF068A"/>
    <w:rsid w:val="00AF0C71"/>
    <w:rsid w:val="00AF7BA9"/>
    <w:rsid w:val="00B10CBF"/>
    <w:rsid w:val="00B1105B"/>
    <w:rsid w:val="00B130D2"/>
    <w:rsid w:val="00B25029"/>
    <w:rsid w:val="00B26699"/>
    <w:rsid w:val="00B30A07"/>
    <w:rsid w:val="00B42C6E"/>
    <w:rsid w:val="00B4721D"/>
    <w:rsid w:val="00B51B62"/>
    <w:rsid w:val="00B55036"/>
    <w:rsid w:val="00B64DAC"/>
    <w:rsid w:val="00B66BED"/>
    <w:rsid w:val="00B740DE"/>
    <w:rsid w:val="00B75BA8"/>
    <w:rsid w:val="00B80F9B"/>
    <w:rsid w:val="00B83CC4"/>
    <w:rsid w:val="00B8473A"/>
    <w:rsid w:val="00B9725A"/>
    <w:rsid w:val="00BA1072"/>
    <w:rsid w:val="00BA7C12"/>
    <w:rsid w:val="00BB5516"/>
    <w:rsid w:val="00BB6156"/>
    <w:rsid w:val="00BC60F6"/>
    <w:rsid w:val="00BE70D0"/>
    <w:rsid w:val="00C05C0C"/>
    <w:rsid w:val="00C06BEF"/>
    <w:rsid w:val="00C1094C"/>
    <w:rsid w:val="00C119E1"/>
    <w:rsid w:val="00C145EE"/>
    <w:rsid w:val="00C1476C"/>
    <w:rsid w:val="00C17D6F"/>
    <w:rsid w:val="00C17F4C"/>
    <w:rsid w:val="00C20004"/>
    <w:rsid w:val="00C21815"/>
    <w:rsid w:val="00C27164"/>
    <w:rsid w:val="00C27872"/>
    <w:rsid w:val="00C315D2"/>
    <w:rsid w:val="00C3349F"/>
    <w:rsid w:val="00C336F2"/>
    <w:rsid w:val="00C353D8"/>
    <w:rsid w:val="00C3671F"/>
    <w:rsid w:val="00C44A3C"/>
    <w:rsid w:val="00C45A61"/>
    <w:rsid w:val="00C60D74"/>
    <w:rsid w:val="00C6496E"/>
    <w:rsid w:val="00C718B0"/>
    <w:rsid w:val="00C735D7"/>
    <w:rsid w:val="00C83C92"/>
    <w:rsid w:val="00C95384"/>
    <w:rsid w:val="00CB3E1F"/>
    <w:rsid w:val="00CC4776"/>
    <w:rsid w:val="00CD169E"/>
    <w:rsid w:val="00CE4E2C"/>
    <w:rsid w:val="00CE5B05"/>
    <w:rsid w:val="00CF5A91"/>
    <w:rsid w:val="00CF62CA"/>
    <w:rsid w:val="00D02BB1"/>
    <w:rsid w:val="00D05487"/>
    <w:rsid w:val="00D15A6B"/>
    <w:rsid w:val="00D27F37"/>
    <w:rsid w:val="00D33C68"/>
    <w:rsid w:val="00D364DC"/>
    <w:rsid w:val="00D415E0"/>
    <w:rsid w:val="00D4431F"/>
    <w:rsid w:val="00D44E22"/>
    <w:rsid w:val="00D45A74"/>
    <w:rsid w:val="00D4703B"/>
    <w:rsid w:val="00D7428F"/>
    <w:rsid w:val="00D75786"/>
    <w:rsid w:val="00D76195"/>
    <w:rsid w:val="00D77AC0"/>
    <w:rsid w:val="00D77F6B"/>
    <w:rsid w:val="00D80B71"/>
    <w:rsid w:val="00D86D5B"/>
    <w:rsid w:val="00D91E81"/>
    <w:rsid w:val="00D92D35"/>
    <w:rsid w:val="00D968CF"/>
    <w:rsid w:val="00D97852"/>
    <w:rsid w:val="00DB21EA"/>
    <w:rsid w:val="00DB66CA"/>
    <w:rsid w:val="00DB7665"/>
    <w:rsid w:val="00DC5737"/>
    <w:rsid w:val="00DC7752"/>
    <w:rsid w:val="00DD10CD"/>
    <w:rsid w:val="00DF3595"/>
    <w:rsid w:val="00E104DF"/>
    <w:rsid w:val="00E1193A"/>
    <w:rsid w:val="00E14890"/>
    <w:rsid w:val="00E14E8A"/>
    <w:rsid w:val="00E17064"/>
    <w:rsid w:val="00E35DD9"/>
    <w:rsid w:val="00E418A3"/>
    <w:rsid w:val="00E63996"/>
    <w:rsid w:val="00E7516A"/>
    <w:rsid w:val="00E76FF4"/>
    <w:rsid w:val="00E800D2"/>
    <w:rsid w:val="00E92C49"/>
    <w:rsid w:val="00EA35D9"/>
    <w:rsid w:val="00EB4777"/>
    <w:rsid w:val="00EB77A1"/>
    <w:rsid w:val="00EC2C98"/>
    <w:rsid w:val="00EC3746"/>
    <w:rsid w:val="00EC50D8"/>
    <w:rsid w:val="00EE34F9"/>
    <w:rsid w:val="00EE6D16"/>
    <w:rsid w:val="00EF6742"/>
    <w:rsid w:val="00EF69AA"/>
    <w:rsid w:val="00F11297"/>
    <w:rsid w:val="00F1299D"/>
    <w:rsid w:val="00F13FB4"/>
    <w:rsid w:val="00F349BF"/>
    <w:rsid w:val="00F34E15"/>
    <w:rsid w:val="00F40D55"/>
    <w:rsid w:val="00F506ED"/>
    <w:rsid w:val="00F52444"/>
    <w:rsid w:val="00F525DD"/>
    <w:rsid w:val="00F539FB"/>
    <w:rsid w:val="00F53BD7"/>
    <w:rsid w:val="00F70454"/>
    <w:rsid w:val="00F80537"/>
    <w:rsid w:val="00F8386D"/>
    <w:rsid w:val="00F83B4D"/>
    <w:rsid w:val="00F85062"/>
    <w:rsid w:val="00F85528"/>
    <w:rsid w:val="00F85B33"/>
    <w:rsid w:val="00F90B7D"/>
    <w:rsid w:val="00FA0B0D"/>
    <w:rsid w:val="00FA755C"/>
    <w:rsid w:val="00FB243A"/>
    <w:rsid w:val="00FC4BD7"/>
    <w:rsid w:val="00FE16A4"/>
    <w:rsid w:val="00FE3A53"/>
    <w:rsid w:val="00FE3BF0"/>
    <w:rsid w:val="00FE65D9"/>
    <w:rsid w:val="00FF2C89"/>
    <w:rsid w:val="00FF4E19"/>
    <w:rsid w:val="00FF5678"/>
    <w:rsid w:val="00FF6643"/>
    <w:rsid w:val="00FF7F43"/>
    <w:rsid w:val="1B58EA7E"/>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CommentReference">
    <w:name w:val="annotation reference"/>
    <w:basedOn w:val="DefaultParagraphFont"/>
    <w:uiPriority w:val="99"/>
    <w:semiHidden/>
    <w:unhideWhenUsed/>
    <w:rsid w:val="00D415E0"/>
    <w:rPr>
      <w:sz w:val="16"/>
      <w:szCs w:val="16"/>
    </w:rPr>
  </w:style>
  <w:style w:type="paragraph" w:styleId="CommentText">
    <w:name w:val="annotation text"/>
    <w:basedOn w:val="Normal"/>
    <w:link w:val="CommentTextChar"/>
    <w:uiPriority w:val="99"/>
    <w:unhideWhenUsed/>
    <w:rsid w:val="00D415E0"/>
    <w:pPr>
      <w:spacing w:line="240" w:lineRule="auto"/>
    </w:pPr>
    <w:rPr>
      <w:sz w:val="20"/>
      <w:szCs w:val="20"/>
    </w:rPr>
  </w:style>
  <w:style w:type="character" w:customStyle="1" w:styleId="CommentTextChar">
    <w:name w:val="Comment Text Char"/>
    <w:basedOn w:val="DefaultParagraphFont"/>
    <w:link w:val="CommentText"/>
    <w:uiPriority w:val="99"/>
    <w:rsid w:val="00D415E0"/>
    <w:rPr>
      <w:sz w:val="20"/>
      <w:szCs w:val="20"/>
    </w:rPr>
  </w:style>
  <w:style w:type="paragraph" w:styleId="CommentSubject">
    <w:name w:val="annotation subject"/>
    <w:basedOn w:val="CommentText"/>
    <w:next w:val="CommentText"/>
    <w:link w:val="CommentSubjectChar"/>
    <w:uiPriority w:val="99"/>
    <w:semiHidden/>
    <w:unhideWhenUsed/>
    <w:rsid w:val="00D415E0"/>
    <w:rPr>
      <w:b/>
      <w:bCs/>
    </w:rPr>
  </w:style>
  <w:style w:type="character" w:customStyle="1" w:styleId="CommentSubjectChar">
    <w:name w:val="Comment Subject Char"/>
    <w:basedOn w:val="CommentTextChar"/>
    <w:link w:val="CommentSubject"/>
    <w:uiPriority w:val="99"/>
    <w:semiHidden/>
    <w:rsid w:val="00D415E0"/>
    <w:rPr>
      <w:b/>
      <w:bCs/>
      <w:sz w:val="20"/>
      <w:szCs w:val="20"/>
    </w:rPr>
  </w:style>
  <w:style w:type="paragraph" w:styleId="Footer">
    <w:name w:val="footer"/>
    <w:basedOn w:val="Normal"/>
    <w:link w:val="FooterChar"/>
    <w:uiPriority w:val="99"/>
    <w:unhideWhenUsed/>
    <w:rsid w:val="009C7C1D"/>
    <w:pPr>
      <w:tabs>
        <w:tab w:val="center" w:pos="4703"/>
        <w:tab w:val="right" w:pos="9406"/>
      </w:tabs>
      <w:spacing w:after="0" w:line="240" w:lineRule="auto"/>
    </w:pPr>
    <w:rPr>
      <w:rFonts w:eastAsiaTheme="minorEastAsia"/>
      <w:kern w:val="0"/>
      <w:sz w:val="22"/>
      <w:szCs w:val="22"/>
      <w:lang w:val="en-US"/>
      <w14:ligatures w14:val="none"/>
    </w:rPr>
  </w:style>
  <w:style w:type="character" w:customStyle="1" w:styleId="FooterChar">
    <w:name w:val="Footer Char"/>
    <w:basedOn w:val="DefaultParagraphFont"/>
    <w:link w:val="Footer"/>
    <w:uiPriority w:val="99"/>
    <w:rsid w:val="009C7C1D"/>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3e2c2d-3ca9-4d8c-a3ff-aa4ecccbf288">
      <Terms xmlns="http://schemas.microsoft.com/office/infopath/2007/PartnerControls"/>
    </lcf76f155ced4ddcb4097134ff3c332f>
    <TaxCatchAll xmlns="238c36a5-d836-4167-92b1-30993ed875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1996F1FA99745B397B3BC645D53F9" ma:contentTypeVersion="14" ma:contentTypeDescription="Create a new document." ma:contentTypeScope="" ma:versionID="7cf91280a6eaf8a331fa33dd732dd01a">
  <xsd:schema xmlns:xsd="http://www.w3.org/2001/XMLSchema" xmlns:xs="http://www.w3.org/2001/XMLSchema" xmlns:p="http://schemas.microsoft.com/office/2006/metadata/properties" xmlns:ns2="ef3e2c2d-3ca9-4d8c-a3ff-aa4ecccbf288" xmlns:ns3="238c36a5-d836-4167-92b1-30993ed8759c" targetNamespace="http://schemas.microsoft.com/office/2006/metadata/properties" ma:root="true" ma:fieldsID="de756ebb8871f0299af51838b7f9e296" ns2:_="" ns3:_="">
    <xsd:import namespace="ef3e2c2d-3ca9-4d8c-a3ff-aa4ecccbf288"/>
    <xsd:import namespace="238c36a5-d836-4167-92b1-30993ed87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e2c2d-3ca9-4d8c-a3ff-aa4ecccbf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615b5b-c895-408b-8f1b-72f81aa04f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c36a5-d836-4167-92b1-30993ed875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6387c6-b4e8-481d-bd6f-5ef9094f8c21}" ma:internalName="TaxCatchAll" ma:showField="CatchAllData" ma:web="238c36a5-d836-4167-92b1-30993ed875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ef3e2c2d-3ca9-4d8c-a3ff-aa4ecccbf288"/>
    <ds:schemaRef ds:uri="238c36a5-d836-4167-92b1-30993ed8759c"/>
  </ds:schemaRefs>
</ds:datastoreItem>
</file>

<file path=customXml/itemProps2.xml><?xml version="1.0" encoding="utf-8"?>
<ds:datastoreItem xmlns:ds="http://schemas.openxmlformats.org/officeDocument/2006/customXml" ds:itemID="{A7489E44-F508-46FC-B055-83AD4322B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e2c2d-3ca9-4d8c-a3ff-aa4ecccbf288"/>
    <ds:schemaRef ds:uri="238c36a5-d836-4167-92b1-30993ed8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2526</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Xavier HAHN</cp:lastModifiedBy>
  <cp:revision>86</cp:revision>
  <dcterms:created xsi:type="dcterms:W3CDTF">2025-07-29T14:27:00Z</dcterms:created>
  <dcterms:modified xsi:type="dcterms:W3CDTF">2025-07-30T17:45:00Z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0x01010079D1996F1FA99745B397B3BC645D53F9</vt:lpwstr>
  </property>
</Properties>
</file>