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1291826" w:rsidR="000B3C5E" w:rsidRDefault="00000000">
      <w:pPr>
        <w:jc w:val="center"/>
        <w:rPr>
          <w:rFonts w:ascii="Calibri" w:eastAsia="Calibri" w:hAnsi="Calibri" w:cs="Calibri"/>
          <w:sz w:val="20"/>
          <w:szCs w:val="20"/>
        </w:rPr>
      </w:pPr>
      <w:r>
        <w:rPr>
          <w:rFonts w:ascii="Calibri" w:eastAsia="Calibri" w:hAnsi="Calibri" w:cs="Calibri"/>
          <w:b/>
          <w:bCs/>
          <w:sz w:val="20"/>
          <w:szCs w:val="20"/>
        </w:rPr>
        <w:t xml:space="preserve">Renal dysfunction with vancomycin therapy associated with </w:t>
      </w:r>
      <w:proofErr w:type="spellStart"/>
      <w:r>
        <w:rPr>
          <w:rFonts w:ascii="Calibri" w:eastAsia="Calibri" w:hAnsi="Calibri" w:cs="Calibri"/>
          <w:b/>
          <w:bCs/>
          <w:sz w:val="20"/>
          <w:szCs w:val="20"/>
        </w:rPr>
        <w:t>haematological</w:t>
      </w:r>
      <w:proofErr w:type="spellEnd"/>
      <w:r>
        <w:rPr>
          <w:rFonts w:ascii="Calibri" w:eastAsia="Calibri" w:hAnsi="Calibri" w:cs="Calibri"/>
          <w:b/>
          <w:bCs/>
          <w:sz w:val="20"/>
          <w:szCs w:val="20"/>
        </w:rPr>
        <w:t xml:space="preserve"> changes, Ula</w:t>
      </w:r>
      <w:r w:rsidR="00A06C8B">
        <w:rPr>
          <w:rFonts w:ascii="Calibri" w:eastAsia="Calibri" w:hAnsi="Calibri" w:cs="Calibri"/>
          <w:b/>
          <w:bCs/>
          <w:sz w:val="20"/>
          <w:szCs w:val="20"/>
        </w:rPr>
        <w:t>a</w:t>
      </w:r>
      <w:r>
        <w:rPr>
          <w:rFonts w:ascii="Calibri" w:eastAsia="Calibri" w:hAnsi="Calibri" w:cs="Calibri"/>
          <w:b/>
          <w:bCs/>
          <w:sz w:val="20"/>
          <w:szCs w:val="20"/>
        </w:rPr>
        <w:t>nbaatar, Mongolia</w:t>
      </w:r>
    </w:p>
    <w:p w14:paraId="00000002" w14:textId="77777777" w:rsidR="000B3C5E" w:rsidRDefault="00000000">
      <w:pPr>
        <w:rPr>
          <w:rFonts w:ascii="Calibri" w:eastAsia="Calibri" w:hAnsi="Calibri" w:cs="Calibri"/>
          <w:sz w:val="20"/>
          <w:szCs w:val="20"/>
        </w:rPr>
      </w:pPr>
      <w:r>
        <w:rPr>
          <w:rFonts w:ascii="Calibri" w:eastAsia="Calibri" w:hAnsi="Calibri" w:cs="Calibri"/>
          <w:sz w:val="20"/>
          <w:szCs w:val="20"/>
        </w:rPr>
        <w:t>Lkhagvajav Galbadrakh</w:t>
      </w:r>
      <w:r>
        <w:rPr>
          <w:rFonts w:ascii="Calibri" w:eastAsia="Calibri" w:hAnsi="Calibri" w:cs="Calibri"/>
          <w:sz w:val="20"/>
          <w:szCs w:val="20"/>
          <w:vertAlign w:val="superscript"/>
        </w:rPr>
        <w:t>1</w:t>
      </w:r>
      <w:r>
        <w:rPr>
          <w:rFonts w:ascii="Calibri" w:eastAsia="Calibri" w:hAnsi="Calibri" w:cs="Calibri"/>
          <w:sz w:val="20"/>
          <w:szCs w:val="20"/>
        </w:rPr>
        <w:t>, Tamir Tsogjolmaa</w:t>
      </w:r>
      <w:r>
        <w:rPr>
          <w:rFonts w:ascii="Calibri" w:eastAsia="Calibri" w:hAnsi="Calibri" w:cs="Calibri"/>
          <w:sz w:val="20"/>
          <w:szCs w:val="20"/>
          <w:vertAlign w:val="superscript"/>
        </w:rPr>
        <w:t>1</w:t>
      </w:r>
      <w:r>
        <w:rPr>
          <w:rFonts w:ascii="Calibri" w:eastAsia="Calibri" w:hAnsi="Calibri" w:cs="Calibri"/>
          <w:sz w:val="20"/>
          <w:szCs w:val="20"/>
        </w:rPr>
        <w:t>, Delgermaa Sukhbaatar</w:t>
      </w:r>
      <w:r>
        <w:rPr>
          <w:rFonts w:ascii="Calibri" w:eastAsia="Calibri" w:hAnsi="Calibri" w:cs="Calibri"/>
          <w:sz w:val="20"/>
          <w:szCs w:val="20"/>
          <w:vertAlign w:val="superscript"/>
        </w:rPr>
        <w:t>2</w:t>
      </w:r>
      <w:r>
        <w:rPr>
          <w:rFonts w:ascii="Calibri" w:eastAsia="Calibri" w:hAnsi="Calibri" w:cs="Calibri"/>
          <w:sz w:val="20"/>
          <w:szCs w:val="20"/>
        </w:rPr>
        <w:t xml:space="preserve">, </w:t>
      </w:r>
      <w:proofErr w:type="spellStart"/>
      <w:r>
        <w:rPr>
          <w:rFonts w:ascii="Calibri" w:eastAsia="Calibri" w:hAnsi="Calibri" w:cs="Calibri"/>
          <w:sz w:val="20"/>
          <w:szCs w:val="20"/>
        </w:rPr>
        <w:t>Adiyatumur</w:t>
      </w:r>
      <w:proofErr w:type="spellEnd"/>
      <w:r>
        <w:rPr>
          <w:rFonts w:ascii="Calibri" w:eastAsia="Calibri" w:hAnsi="Calibri" w:cs="Calibri"/>
          <w:sz w:val="20"/>
          <w:szCs w:val="20"/>
        </w:rPr>
        <w:t xml:space="preserve"> Batjargal</w:t>
      </w:r>
      <w:r>
        <w:rPr>
          <w:rFonts w:ascii="Calibri" w:eastAsia="Calibri" w:hAnsi="Calibri" w:cs="Calibri"/>
          <w:sz w:val="20"/>
          <w:szCs w:val="20"/>
          <w:vertAlign w:val="superscript"/>
        </w:rPr>
        <w:t>3</w:t>
      </w:r>
      <w:r>
        <w:rPr>
          <w:rFonts w:ascii="Calibri" w:eastAsia="Calibri" w:hAnsi="Calibri" w:cs="Calibri"/>
          <w:sz w:val="20"/>
          <w:szCs w:val="20"/>
        </w:rPr>
        <w:t>, Sarantsetseg Jigjidsuren</w:t>
      </w:r>
      <w:r>
        <w:rPr>
          <w:rFonts w:ascii="Calibri" w:eastAsia="Calibri" w:hAnsi="Calibri" w:cs="Calibri"/>
          <w:sz w:val="20"/>
          <w:szCs w:val="20"/>
          <w:vertAlign w:val="superscript"/>
        </w:rPr>
        <w:t>3</w:t>
      </w:r>
      <w:r>
        <w:rPr>
          <w:rFonts w:ascii="Calibri" w:eastAsia="Calibri" w:hAnsi="Calibri" w:cs="Calibri"/>
          <w:sz w:val="20"/>
          <w:szCs w:val="20"/>
        </w:rPr>
        <w:t>, Khaliun Nyambayar</w:t>
      </w:r>
      <w:r>
        <w:rPr>
          <w:rFonts w:ascii="Calibri" w:eastAsia="Calibri" w:hAnsi="Calibri" w:cs="Calibri"/>
          <w:sz w:val="20"/>
          <w:szCs w:val="20"/>
          <w:vertAlign w:val="superscript"/>
        </w:rPr>
        <w:t>2</w:t>
      </w:r>
      <w:r>
        <w:rPr>
          <w:rFonts w:ascii="Calibri" w:eastAsia="Calibri" w:hAnsi="Calibri" w:cs="Calibri"/>
          <w:sz w:val="20"/>
          <w:szCs w:val="20"/>
        </w:rPr>
        <w:t xml:space="preserve">. </w:t>
      </w:r>
      <w:r>
        <w:rPr>
          <w:rFonts w:ascii="Calibri" w:eastAsia="Calibri" w:hAnsi="Calibri" w:cs="Calibri"/>
          <w:sz w:val="20"/>
          <w:szCs w:val="20"/>
          <w:vertAlign w:val="superscript"/>
        </w:rPr>
        <w:t>1</w:t>
      </w:r>
      <w:r>
        <w:rPr>
          <w:rFonts w:ascii="Calibri" w:eastAsia="Calibri" w:hAnsi="Calibri" w:cs="Calibri"/>
          <w:sz w:val="20"/>
          <w:szCs w:val="20"/>
        </w:rPr>
        <w:t xml:space="preserve">Department of General Sciences, </w:t>
      </w:r>
      <w:proofErr w:type="spellStart"/>
      <w:r>
        <w:rPr>
          <w:rFonts w:ascii="Calibri" w:eastAsia="Calibri" w:hAnsi="Calibri" w:cs="Calibri"/>
          <w:sz w:val="20"/>
          <w:szCs w:val="20"/>
        </w:rPr>
        <w:t>Etugen</w:t>
      </w:r>
      <w:proofErr w:type="spellEnd"/>
      <w:r>
        <w:rPr>
          <w:rFonts w:ascii="Calibri" w:eastAsia="Calibri" w:hAnsi="Calibri" w:cs="Calibri"/>
          <w:sz w:val="20"/>
          <w:szCs w:val="20"/>
        </w:rPr>
        <w:t xml:space="preserve"> Medical University, Ulaanbaatar, Mongolia, </w:t>
      </w:r>
      <w:r>
        <w:rPr>
          <w:rFonts w:ascii="Calibri" w:eastAsia="Calibri" w:hAnsi="Calibri" w:cs="Calibri"/>
          <w:sz w:val="20"/>
          <w:szCs w:val="20"/>
          <w:vertAlign w:val="superscript"/>
        </w:rPr>
        <w:t>2</w:t>
      </w:r>
      <w:r>
        <w:rPr>
          <w:rFonts w:ascii="Calibri" w:eastAsia="Calibri" w:hAnsi="Calibri" w:cs="Calibri"/>
          <w:sz w:val="20"/>
          <w:szCs w:val="20"/>
        </w:rPr>
        <w:t xml:space="preserve">Department of Pharmacology, School of Bio-Medicine, MNUMS, Ulaanbaatar, Mongolia, </w:t>
      </w:r>
      <w:r>
        <w:rPr>
          <w:rFonts w:ascii="Calibri" w:eastAsia="Calibri" w:hAnsi="Calibri" w:cs="Calibri"/>
          <w:sz w:val="20"/>
          <w:szCs w:val="20"/>
          <w:vertAlign w:val="superscript"/>
        </w:rPr>
        <w:t xml:space="preserve">3 </w:t>
      </w:r>
      <w:r>
        <w:rPr>
          <w:rFonts w:ascii="Calibri" w:eastAsia="Calibri" w:hAnsi="Calibri" w:cs="Calibri"/>
          <w:sz w:val="20"/>
          <w:szCs w:val="20"/>
        </w:rPr>
        <w:t xml:space="preserve">Clinical Pathology Laboratory, The First Central State Hospital, Ulaanbaatar, Mongolia </w:t>
      </w:r>
    </w:p>
    <w:p w14:paraId="00000003" w14:textId="77777777" w:rsidR="000B3C5E" w:rsidRDefault="00000000">
      <w:pPr>
        <w:jc w:val="both"/>
        <w:rPr>
          <w:rFonts w:ascii="Calibri" w:eastAsia="Calibri" w:hAnsi="Calibri" w:cs="Calibri"/>
        </w:rPr>
      </w:pPr>
      <w:r>
        <w:rPr>
          <w:rFonts w:ascii="Calibri" w:eastAsia="Calibri" w:hAnsi="Calibri" w:cs="Calibri"/>
          <w:b/>
          <w:bCs/>
          <w:sz w:val="20"/>
          <w:szCs w:val="20"/>
        </w:rPr>
        <w:t>Introduction.</w:t>
      </w:r>
      <w:r>
        <w:rPr>
          <w:rFonts w:ascii="Calibri" w:eastAsia="Calibri" w:hAnsi="Calibri" w:cs="Calibri"/>
          <w:sz w:val="20"/>
          <w:szCs w:val="20"/>
        </w:rPr>
        <w:t xml:space="preserve"> Vancomycin is a glycopeptide antibiotic widely used for the treatment of Gram-positive bacterial infections, which is associated with a risk of damage in renal function and </w:t>
      </w:r>
      <w:proofErr w:type="spellStart"/>
      <w:r>
        <w:rPr>
          <w:rFonts w:ascii="Calibri" w:eastAsia="Calibri" w:hAnsi="Calibri" w:cs="Calibri"/>
          <w:sz w:val="20"/>
          <w:szCs w:val="20"/>
        </w:rPr>
        <w:t>haematological</w:t>
      </w:r>
      <w:proofErr w:type="spellEnd"/>
      <w:r>
        <w:rPr>
          <w:rFonts w:ascii="Calibri" w:eastAsia="Calibri" w:hAnsi="Calibri" w:cs="Calibri"/>
          <w:sz w:val="20"/>
          <w:szCs w:val="20"/>
        </w:rPr>
        <w:t xml:space="preserve"> parameters.</w:t>
      </w:r>
      <w:r>
        <w:rPr>
          <w:rFonts w:ascii="Calibri" w:eastAsia="Calibri" w:hAnsi="Calibri" w:cs="Calibri"/>
        </w:rPr>
        <w:t xml:space="preserve"> </w:t>
      </w:r>
    </w:p>
    <w:p w14:paraId="00000004" w14:textId="77777777" w:rsidR="000B3C5E" w:rsidRDefault="00000000">
      <w:pPr>
        <w:jc w:val="both"/>
        <w:rPr>
          <w:rFonts w:ascii="Calibri" w:eastAsia="Calibri" w:hAnsi="Calibri" w:cs="Calibri"/>
        </w:rPr>
      </w:pPr>
      <w:r>
        <w:rPr>
          <w:rFonts w:ascii="Calibri" w:eastAsia="Calibri" w:hAnsi="Calibri" w:cs="Calibri"/>
          <w:b/>
          <w:bCs/>
          <w:sz w:val="20"/>
          <w:szCs w:val="20"/>
        </w:rPr>
        <w:t>Aims</w:t>
      </w:r>
      <w:r>
        <w:rPr>
          <w:rFonts w:ascii="Calibri" w:eastAsia="Calibri" w:hAnsi="Calibri" w:cs="Calibri"/>
          <w:sz w:val="20"/>
          <w:szCs w:val="20"/>
        </w:rPr>
        <w:t>. To characterize changes in complete blood count parameters during vancomycin therapy and to evaluate their association with renal function impairment</w:t>
      </w:r>
      <w:r>
        <w:rPr>
          <w:rFonts w:ascii="Calibri" w:eastAsia="Calibri" w:hAnsi="Calibri" w:cs="Calibri"/>
        </w:rPr>
        <w:t>.</w:t>
      </w:r>
    </w:p>
    <w:p w14:paraId="00000005" w14:textId="77777777" w:rsidR="000B3C5E" w:rsidRDefault="00000000">
      <w:pPr>
        <w:jc w:val="both"/>
        <w:rPr>
          <w:rFonts w:ascii="Calibri" w:eastAsia="Calibri" w:hAnsi="Calibri" w:cs="Calibri"/>
          <w:sz w:val="20"/>
          <w:szCs w:val="20"/>
        </w:rPr>
      </w:pPr>
      <w:bookmarkStart w:id="0" w:name="_heading=h.9qiztzy7e2n0" w:colFirst="0" w:colLast="0"/>
      <w:bookmarkEnd w:id="0"/>
      <w:r>
        <w:rPr>
          <w:rFonts w:ascii="Calibri" w:eastAsia="Calibri" w:hAnsi="Calibri" w:cs="Calibri"/>
          <w:b/>
          <w:bCs/>
          <w:sz w:val="20"/>
          <w:szCs w:val="20"/>
        </w:rPr>
        <w:t>Methods</w:t>
      </w:r>
      <w:r>
        <w:rPr>
          <w:rFonts w:ascii="Calibri" w:eastAsia="Calibri" w:hAnsi="Calibri" w:cs="Calibri"/>
          <w:sz w:val="20"/>
          <w:szCs w:val="20"/>
        </w:rPr>
        <w:t xml:space="preserve">. We conducted a retrospective, document-based study at the First Central State Hospital, including patients who received vancomycin between 2020 and 2023. Of 1,070 screened medical records, 406 patients met the eligibility criteria and were included in the data analysis. Data were extracted on vancomycin dosing and treatment duration, complete blood count indices, and renal function parameters using estimated creatinine clearance and estimated glomerular filtration rate calculated using the MDRD equation measuring before, during, and after </w:t>
      </w:r>
      <w:sdt>
        <w:sdtPr>
          <w:tag w:val="goog_rdk_0"/>
          <w:id w:val="951161752"/>
        </w:sdtPr>
        <w:sdtContent/>
      </w:sdt>
      <w:sdt>
        <w:sdtPr>
          <w:tag w:val="goog_rdk_1"/>
          <w:id w:val="-1181954164"/>
        </w:sdtPr>
        <w:sdtContent/>
      </w:sdt>
      <w:r>
        <w:rPr>
          <w:rFonts w:ascii="Calibri" w:eastAsia="Calibri" w:hAnsi="Calibri" w:cs="Calibri"/>
          <w:sz w:val="20"/>
          <w:szCs w:val="20"/>
        </w:rPr>
        <w:t xml:space="preserve">therapy. </w:t>
      </w:r>
    </w:p>
    <w:p w14:paraId="00000006" w14:textId="77777777" w:rsidR="000B3C5E" w:rsidRDefault="00000000">
      <w:pPr>
        <w:jc w:val="both"/>
        <w:rPr>
          <w:rFonts w:ascii="Calibri" w:eastAsia="Calibri" w:hAnsi="Calibri" w:cs="Calibri"/>
          <w:sz w:val="20"/>
          <w:szCs w:val="20"/>
        </w:rPr>
      </w:pPr>
      <w:bookmarkStart w:id="1" w:name="_heading=h.3dt8c1iwpou5" w:colFirst="0" w:colLast="0"/>
      <w:bookmarkEnd w:id="1"/>
      <w:r>
        <w:rPr>
          <w:rFonts w:ascii="Calibri" w:eastAsia="Calibri" w:hAnsi="Calibri" w:cs="Calibri"/>
          <w:b/>
          <w:bCs/>
          <w:sz w:val="20"/>
          <w:szCs w:val="20"/>
        </w:rPr>
        <w:t>Results.</w:t>
      </w:r>
      <w:r>
        <w:rPr>
          <w:rFonts w:ascii="Calibri" w:eastAsia="Calibri" w:hAnsi="Calibri" w:cs="Calibri"/>
          <w:sz w:val="20"/>
          <w:szCs w:val="20"/>
        </w:rPr>
        <w:t xml:space="preserve"> The mean age of the study was 50.4 ± 15.9 years; the mean duration of vancomycin therapy was 11.3 ± 5.8 days, with the mean single dose was 1.0 ± 0.07g, mean daily dose was 2.48 ± 0.6g, and mean cumulative dose was 27.8 ± 15.5g. During therapy, abnormalities in creatinine and urea were observed in 22% and 18% of patients, respectively; after completion of therapy, these proportions increased to 35% and 28%, respectively (P &lt; 0.05). Among complete blood count parameters, red blood cell (RBC) count (3.56 → 3.41 ×10⁶/µL; Δ −0.13; 95% Cl −0.23 to −0.06), percentage of </w:t>
      </w:r>
      <w:proofErr w:type="spellStart"/>
      <w:r>
        <w:rPr>
          <w:rFonts w:ascii="Calibri" w:eastAsia="Calibri" w:hAnsi="Calibri" w:cs="Calibri"/>
          <w:sz w:val="20"/>
          <w:szCs w:val="20"/>
        </w:rPr>
        <w:t>haematocrit</w:t>
      </w:r>
      <w:proofErr w:type="spellEnd"/>
      <w:r>
        <w:rPr>
          <w:rFonts w:ascii="Calibri" w:eastAsia="Calibri" w:hAnsi="Calibri" w:cs="Calibri"/>
          <w:sz w:val="20"/>
          <w:szCs w:val="20"/>
        </w:rPr>
        <w:t xml:space="preserve"> (28.1 → 27.6%; Δ −1.00; 95% Cl −1.4 to −0.4), In contrast, several indices demonstrated both statistical and clinical significance: white blood cell (WBC) count (12.2 → 7.81 ×10⁹/L; Δ −3.56; 95% CI −4.07 to −2.58), neutrophil count and percentage (Δ −3.5; −8.7), lymphocyte count and percentage (Δ +0.17; +5.2), platelet count (231 → 271 ×10⁹/L; Δ +26.0; 95% CI 3.0 to 40.0), and eosinophil count (Δ +0.02; 95% CI 0.01 to 0.05). </w:t>
      </w:r>
    </w:p>
    <w:p w14:paraId="00000007" w14:textId="77777777" w:rsidR="000B3C5E" w:rsidRDefault="00000000">
      <w:pPr>
        <w:jc w:val="both"/>
        <w:rPr>
          <w:rFonts w:ascii="Calibri" w:eastAsia="Calibri" w:hAnsi="Calibri" w:cs="Calibri"/>
          <w:sz w:val="20"/>
          <w:szCs w:val="20"/>
        </w:rPr>
      </w:pPr>
      <w:bookmarkStart w:id="2" w:name="_heading=h.tr7ees94l2cv" w:colFirst="0" w:colLast="0"/>
      <w:bookmarkEnd w:id="2"/>
      <w:r>
        <w:rPr>
          <w:rFonts w:ascii="Calibri" w:eastAsia="Calibri" w:hAnsi="Calibri" w:cs="Calibri"/>
          <w:b/>
          <w:bCs/>
          <w:sz w:val="20"/>
          <w:szCs w:val="20"/>
        </w:rPr>
        <w:t>Discussion.</w:t>
      </w:r>
      <w:r>
        <w:rPr>
          <w:rFonts w:ascii="Calibri" w:eastAsia="Calibri" w:hAnsi="Calibri" w:cs="Calibri"/>
          <w:sz w:val="20"/>
          <w:szCs w:val="20"/>
        </w:rPr>
        <w:t xml:space="preserve"> Vancomycin therapy was associated with mild-to-moderate deterioration in renal function, and an increased likelihood of progression to stage 2–3 impairment. </w:t>
      </w:r>
    </w:p>
    <w:sectPr w:rsidR="000B3C5E">
      <w:pgSz w:w="11906" w:h="8391" w:orient="landscape"/>
      <w:pgMar w:top="851" w:right="1134" w:bottom="851" w:left="1134"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7871C6-C501-422E-AA90-9470ED6CAB1A}"/>
    <w:embedBold r:id="rId2" w:fontKey="{DF2F9F66-4394-49A1-B2B3-6FB967B96248}"/>
    <w:embedBoldItalic r:id="rId3" w:fontKey="{A9AAD9C3-0A18-418E-89E3-4AE34DDF9E1D}"/>
  </w:font>
  <w:font w:name="Times">
    <w:panose1 w:val="02020603050405020304"/>
    <w:charset w:val="00"/>
    <w:family w:val="roman"/>
    <w:pitch w:val="variable"/>
    <w:sig w:usb0="E0002EFF" w:usb1="C000785B" w:usb2="00000009" w:usb3="00000000" w:csb0="000001FF" w:csb1="00000000"/>
    <w:embedRegular r:id="rId4" w:fontKey="{F8D09024-71C7-4D68-A615-96766845C887}"/>
  </w:font>
  <w:font w:name="PMingLiU">
    <w:altName w:val="新細明體"/>
    <w:panose1 w:val="02010601000101010101"/>
    <w:charset w:val="88"/>
    <w:family w:val="auto"/>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embedRegular r:id="rId5" w:fontKey="{C99FBFD2-BDC2-494B-9DF6-098B7E9B51F4}"/>
  </w:font>
  <w:font w:name="Georgia">
    <w:panose1 w:val="02040502050405020303"/>
    <w:charset w:val="00"/>
    <w:family w:val="auto"/>
    <w:pitch w:val="default"/>
    <w:embedItalic r:id="rId6" w:fontKey="{BEA77657-7321-4108-A5AE-890AFAB6A696}"/>
  </w:font>
  <w:font w:name="Cambria">
    <w:panose1 w:val="02040503050406030204"/>
    <w:charset w:val="00"/>
    <w:family w:val="roman"/>
    <w:pitch w:val="variable"/>
    <w:sig w:usb0="E00006FF" w:usb1="420024FF" w:usb2="02000000" w:usb3="00000000" w:csb0="0000019F" w:csb1="00000000"/>
    <w:embedRegular r:id="rId7" w:fontKey="{88CB935B-985C-420E-9D36-28BE323CB62F}"/>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C5E"/>
    <w:rsid w:val="000B3C5E"/>
    <w:rsid w:val="000F1657"/>
    <w:rsid w:val="00455A00"/>
    <w:rsid w:val="00482150"/>
    <w:rsid w:val="00A06C8B"/>
    <w:rsid w:val="00ED38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60060"/>
  <w15:docId w15:val="{F7559EB7-1FF8-46B6-844C-E124A5C96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before="120" w:after="60"/>
      <w:jc w:val="center"/>
      <w:outlineLvl w:val="2"/>
    </w:pPr>
    <w:rPr>
      <w:b/>
      <w:bCs/>
      <w:smallCap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cs="Calibri"/>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Indent3">
    <w:name w:val="Body Text Indent 3"/>
    <w:basedOn w:val="Normal"/>
    <w:pPr>
      <w:suppressAutoHyphens/>
      <w:spacing w:before="120" w:after="120" w:line="1" w:lineRule="atLeast"/>
      <w:ind w:leftChars="-1" w:left="-90" w:hangingChars="1" w:hanging="1"/>
      <w:jc w:val="center"/>
      <w:textDirection w:val="btLr"/>
      <w:textAlignment w:val="top"/>
      <w:outlineLvl w:val="0"/>
    </w:pPr>
    <w:rPr>
      <w:rFonts w:ascii="Times" w:hAnsi="Times"/>
      <w:position w:val="-1"/>
      <w:szCs w:val="20"/>
      <w:lang w:val="en-US"/>
    </w:rPr>
  </w:style>
  <w:style w:type="character" w:customStyle="1" w:styleId="Heading5Char">
    <w:name w:val="Heading 5 Char"/>
    <w:rPr>
      <w:rFonts w:ascii="Calibri" w:eastAsia="PMingLiU" w:hAnsi="Calibri" w:cs="Times New Roman"/>
      <w:b/>
      <w:bCs/>
      <w:i/>
      <w:iCs/>
      <w:w w:val="100"/>
      <w:position w:val="-1"/>
      <w:sz w:val="26"/>
      <w:szCs w:val="26"/>
      <w:effect w:val="none"/>
      <w:vertAlign w:val="baseline"/>
      <w:cs w:val="0"/>
      <w:em w:val="none"/>
      <w:lang w:eastAsia="en-US"/>
    </w:rPr>
  </w:style>
  <w:style w:type="paragraph" w:customStyle="1" w:styleId="Default">
    <w:name w:val="Default"/>
    <w:pPr>
      <w:widowControl w:val="0"/>
      <w:suppressAutoHyphens/>
      <w:autoSpaceDE w:val="0"/>
      <w:autoSpaceDN w:val="0"/>
      <w:adjustRightInd w:val="0"/>
      <w:spacing w:line="1" w:lineRule="atLeast"/>
      <w:ind w:leftChars="-1" w:left="-1" w:hangingChars="1" w:hanging="1"/>
      <w:textDirection w:val="btLr"/>
      <w:textAlignment w:val="top"/>
      <w:outlineLvl w:val="0"/>
    </w:pPr>
    <w:rPr>
      <w:rFonts w:ascii="Calibri" w:eastAsia="Calibri" w:hAnsi="Calibri" w:cs="Calibri"/>
      <w:color w:val="000000"/>
      <w:position w:val="-1"/>
      <w:lang w:val="en-US"/>
    </w:rPr>
  </w:style>
  <w:style w:type="paragraph" w:styleId="BalloonText">
    <w:name w:val="Balloon Text"/>
    <w:basedOn w:val="Normal"/>
    <w:qFormat/>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character" w:styleId="Strong">
    <w:name w:val="Strong"/>
    <w:rPr>
      <w:b/>
      <w:bCs/>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26LMUlJD8aRnP5TGGnqogCZkwg==">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392</Words>
  <Characters>2236</Characters>
  <Application>Microsoft Office Word</Application>
  <DocSecurity>0</DocSecurity>
  <Lines>18</Lines>
  <Paragraphs>5</Paragraphs>
  <ScaleCrop>false</ScaleCrop>
  <Company/>
  <LinksUpToDate>false</LinksUpToDate>
  <CharactersWithSpaces>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gillard</dc:creator>
  <cp:lastModifiedBy>l g</cp:lastModifiedBy>
  <cp:revision>2</cp:revision>
  <dcterms:created xsi:type="dcterms:W3CDTF">2026-02-15T05:49:00Z</dcterms:created>
  <dcterms:modified xsi:type="dcterms:W3CDTF">2026-02-15T05:49:00Z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