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80278" w14:textId="77777777" w:rsidR="00601754" w:rsidRDefault="00601754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</w:p>
    <w:p w14:paraId="2826F1B9" w14:textId="18DCF4A7" w:rsidR="00C315D2" w:rsidRPr="00C315D2" w:rsidRDefault="00FE7647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Targeting bacterial endotoxin for treatment of sepsis</w:t>
      </w:r>
    </w:p>
    <w:p w14:paraId="79141BD9" w14:textId="0E7978FE" w:rsidR="00C315D2" w:rsidRPr="00C315D2" w:rsidRDefault="00FE7647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Richard D. Ye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FE7647">
        <w:rPr>
          <w:rFonts w:ascii="Arial" w:eastAsia="Calibri" w:hAnsi="Arial" w:cs="Calibri"/>
          <w:b/>
          <w:bCs/>
          <w:kern w:val="0"/>
          <w:sz w:val="20"/>
          <w:szCs w:val="20"/>
          <w:vertAlign w:val="superscript"/>
          <w14:ligatures w14:val="none"/>
        </w:rPr>
        <w:t>,2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06AE1C6D" w:rsidR="00C315D2" w:rsidRPr="00C315D2" w:rsidRDefault="00FE7647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School of Medicine, The 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Chinese University of Hong Kong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Shenzhen, Guangdong, China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47D76891" w14:textId="66B2980A" w:rsidR="00C315D2" w:rsidRPr="00C315D2" w:rsidRDefault="00CD3CF3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CUHK-Shenzhen </w:t>
      </w:r>
      <w:r w:rsidR="00FE764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Futian Biomedical Innovation R&amp;D Cente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FE764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Shenzhen, Guangdong, China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490DA3CE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E7647" w:rsidRPr="00FE764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Antimicrobial </w:t>
      </w:r>
      <w:r w:rsidR="008A54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</w:t>
      </w:r>
      <w:r w:rsidR="00FE7647" w:rsidRPr="00FE764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esistance (AMR) </w:t>
      </w:r>
      <w:r w:rsidR="00E85D08">
        <w:rPr>
          <w:rFonts w:ascii="Arial" w:eastAsia="等线" w:hAnsi="Arial" w:cs="Calibri"/>
          <w:bCs/>
          <w:kern w:val="0"/>
          <w:sz w:val="20"/>
          <w:szCs w:val="20"/>
          <w:lang w:val="en-US" w:eastAsia="zh-CN"/>
          <w14:ligatures w14:val="none"/>
        </w:rPr>
        <w:t>is a global health t</w:t>
      </w:r>
      <w:r w:rsidR="00CD3CF3">
        <w:rPr>
          <w:rFonts w:ascii="Arial" w:eastAsia="等线" w:hAnsi="Arial" w:cs="Calibri"/>
          <w:bCs/>
          <w:kern w:val="0"/>
          <w:sz w:val="20"/>
          <w:szCs w:val="20"/>
          <w:lang w:val="en-US" w:eastAsia="zh-CN"/>
          <w14:ligatures w14:val="none"/>
        </w:rPr>
        <w:t>h</w:t>
      </w:r>
      <w:r w:rsidR="00E85D08">
        <w:rPr>
          <w:rFonts w:ascii="Arial" w:eastAsia="等线" w:hAnsi="Arial" w:cs="Calibri"/>
          <w:bCs/>
          <w:kern w:val="0"/>
          <w:sz w:val="20"/>
          <w:szCs w:val="20"/>
          <w:lang w:val="en-US" w:eastAsia="zh-CN"/>
          <w14:ligatures w14:val="none"/>
        </w:rPr>
        <w:t>reat due in large part t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</w:t>
      </w:r>
      <w:r w:rsidR="00E85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widespread use of antibiotics. Development of antibiotics-independent therapies for infectious disease is of high importance. </w:t>
      </w:r>
      <w:r w:rsidR="00A13E1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To this end, </w:t>
      </w:r>
      <w:r w:rsidR="00E85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 searched for endogenous proteins that can bind and neutralize bacterial endotoxins 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such as </w:t>
      </w:r>
      <w:r w:rsidR="002D0A3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lipopolysaccharide (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LPS</w:t>
      </w:r>
      <w:r w:rsidR="002D0A3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85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an effort to prevent inflammatory cytokine storm and major organ failure in </w:t>
      </w:r>
      <w:r w:rsidR="00A13E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mouse model</w:t>
      </w:r>
      <w:r w:rsidR="002D0A3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A13E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</w:t>
      </w:r>
      <w:r w:rsidR="00E85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sepsis. 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5D92D90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85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Mouse models of acute lung injury and </w:t>
      </w:r>
      <w:proofErr w:type="spellStart"/>
      <w:r w:rsidR="00E85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cecal</w:t>
      </w:r>
      <w:proofErr w:type="spellEnd"/>
      <w:r w:rsidR="00E85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ligation and puncture (CLP) were established. Human serum amyloid A</w:t>
      </w:r>
      <w:r w:rsidR="00A13E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1</w:t>
      </w:r>
      <w:r w:rsidR="00E85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(SAA</w:t>
      </w:r>
      <w:r w:rsidR="00A13E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1</w:t>
      </w:r>
      <w:r w:rsidR="00E85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was expressed </w:t>
      </w:r>
      <w:r w:rsidR="003B3F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house as a full-length </w:t>
      </w:r>
      <w:r w:rsidR="00A13E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recombinant </w:t>
      </w:r>
      <w:r w:rsidR="003B3F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protein </w:t>
      </w:r>
      <w:r w:rsidR="008A54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3B3F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peptide fragments.</w:t>
      </w:r>
      <w:r w:rsidR="00A13E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Transgenic 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proofErr w:type="spellStart"/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Tg</w:t>
      </w:r>
      <w:proofErr w:type="spellEnd"/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</w:t>
      </w:r>
      <w:r w:rsidR="00A13E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mice were generated to express human SAA1.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13E279FA" w:rsidR="00C315D2" w:rsidRPr="00C315D2" w:rsidRDefault="00B470CD" w:rsidP="00E4578C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06C8CC" wp14:editId="6E894C0B">
            <wp:simplePos x="0" y="0"/>
            <wp:positionH relativeFrom="margin">
              <wp:posOffset>0</wp:posOffset>
            </wp:positionH>
            <wp:positionV relativeFrom="paragraph">
              <wp:posOffset>1123315</wp:posOffset>
            </wp:positionV>
            <wp:extent cx="5657850" cy="12344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95378"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A13E1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Transgenic expression of human SAA1 was found mainly in </w:t>
      </w:r>
      <w:r w:rsidR="00CD3CF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mouse </w:t>
      </w:r>
      <w:r w:rsidR="00A13E1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lungs</w:t>
      </w:r>
      <w:r w:rsidR="002D0A3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[1]</w:t>
      </w:r>
      <w:r w:rsidR="00A13E1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In mice challenged with </w:t>
      </w:r>
      <w:r w:rsidR="00E4578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CLP, the </w:t>
      </w:r>
      <w:proofErr w:type="spellStart"/>
      <w:r w:rsidR="00E4578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</w:t>
      </w:r>
      <w:r w:rsidR="00F50A0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g</w:t>
      </w:r>
      <w:proofErr w:type="spellEnd"/>
      <w:r w:rsidR="00E4578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mice displayed significantly improved survival compared to WT controls. Some of the SAA1 fragments also 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protected mice against </w:t>
      </w:r>
      <w:r w:rsidR="00E4578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LPS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-induced </w:t>
      </w:r>
      <w:r w:rsidR="00E4578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acute lung injury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(Figure 1A)</w:t>
      </w:r>
      <w:r w:rsidR="00E4578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 In macrophages, LPS-induced inflammatory cytokine expression was abrogated by the SAA1 fragments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(Figure 1B-D)</w:t>
      </w:r>
      <w:r w:rsidR="00E4578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 indicating anti-inflammatory activity. Recombinant human SAA1 was found to bind LPS and form a complex that was internalized by macrophages, effectively reducing serum LPS concentration</w:t>
      </w:r>
      <w:r w:rsidR="00F50A0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</w:t>
      </w:r>
      <w:r w:rsidR="00E4578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</w:t>
      </w:r>
    </w:p>
    <w:p w14:paraId="53B488AE" w14:textId="77777777" w:rsidR="00B470CD" w:rsidRDefault="00B470CD" w:rsidP="2021B9E9">
      <w:pPr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44719324" w14:textId="357E9205" w:rsidR="00C315D2" w:rsidRPr="00936D4C" w:rsidRDefault="00C315D2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0450BC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SAA1 fragment 11-58 protects against LPS-induced acute lung injury and improves survival of mice (A). In macrophages, LPS-induced production of major inflammatory cytokines </w:t>
      </w:r>
      <w:proofErr w:type="gramStart"/>
      <w:r w:rsidR="000450BC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were</w:t>
      </w:r>
      <w:proofErr w:type="gramEnd"/>
      <w:r w:rsidR="000450BC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abrogated by the 11-58 fragment (B-D). 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13A36789" w:rsid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Induced expression of SAA1 during bacterial infection may serve </w:t>
      </w:r>
      <w:bookmarkStart w:id="0" w:name="_GoBack"/>
      <w:bookmarkEnd w:id="0"/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 important function in </w:t>
      </w:r>
      <w:r w:rsidR="002D0A3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innate immunity and 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host defence</w:t>
      </w:r>
      <w:r w:rsidR="002D0A3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[2]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in part through </w:t>
      </w:r>
      <w:r w:rsidR="008A54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SAA1 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binding of LPS for accelerated clearance by macrophages with</w:t>
      </w:r>
      <w:r w:rsidR="008A54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reduced 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inflammatory response. Engineer</w:t>
      </w:r>
      <w:r w:rsidR="002D0A3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ing of 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SAA1 fragments </w:t>
      </w:r>
      <w:r w:rsidR="002D0A3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that target LPS 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may provide a</w:t>
      </w:r>
      <w:r w:rsidR="00F50A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n alternative approach 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</w:t>
      </w:r>
      <w:r w:rsidR="00F50A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treatment </w:t>
      </w:r>
      <w:r w:rsidR="00E457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of sepsis induced by Gram-negative bacteria. </w:t>
      </w:r>
    </w:p>
    <w:p w14:paraId="04118B6B" w14:textId="301E417E" w:rsidR="00F50A04" w:rsidRDefault="00F50A04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13C34C67" w14:textId="52374F90" w:rsidR="00F50A04" w:rsidRPr="00C315D2" w:rsidRDefault="00F50A04" w:rsidP="00F50A04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F50A04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>Acknowledgements.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This work was supported in part by </w:t>
      </w:r>
      <w:r w:rsidR="008A54E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g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rants from </w:t>
      </w:r>
      <w:r w:rsidRPr="00F50A0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Shenzhen Medical Research Fund (No. SMRFD2403009)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and </w:t>
      </w:r>
      <w:r w:rsidRPr="00F50A0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National Natural Science Foundation of China (No. 32070950)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6C55744D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95B1BA5" w14:textId="15D538B7" w:rsidR="00C315D2" w:rsidRPr="001A3E6B" w:rsidRDefault="002D0A36" w:rsidP="001A3E6B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[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]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1A3E6B" w:rsidRPr="001A3E6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Cheng N, Liang Y, Du X, Ye, RD. </w:t>
      </w:r>
      <w:r w:rsidR="00BC627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(2018) </w:t>
      </w:r>
      <w:r w:rsidR="001A3E6B" w:rsidRPr="001A3E6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Serum amyloid A promotes LPS clearance and</w:t>
      </w:r>
      <w:r w:rsidR="00072E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1A3E6B" w:rsidRPr="001A3E6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suppresses LPS-induced inflammation and tissue injury. </w:t>
      </w:r>
      <w:r w:rsidR="001A3E6B" w:rsidRPr="00072E11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>EMBO Reports</w:t>
      </w:r>
      <w:r w:rsidR="001A3E6B" w:rsidRPr="001A3E6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e45517</w:t>
      </w:r>
      <w:r w:rsidR="00BC627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r w:rsidR="001A3E6B" w:rsidRPr="001A3E6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doi</w:t>
      </w:r>
      <w:proofErr w:type="spellEnd"/>
      <w:r w:rsidR="001A3E6B" w:rsidRPr="001A3E6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: 10.15252/embr.201745517.</w:t>
      </w:r>
    </w:p>
    <w:p w14:paraId="7D6E388F" w14:textId="6F05DFD8" w:rsidR="00113BB7" w:rsidRPr="009B1CBB" w:rsidRDefault="002D0A36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[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2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]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072E11" w:rsidRPr="00072E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Chang Y, Liu Y, Zou Y, Ye RD</w:t>
      </w:r>
      <w:r w:rsidR="00BC627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(2025)</w:t>
      </w:r>
      <w:r w:rsidR="00072E11" w:rsidRPr="00072E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Recent Advances in Studies of Serum Amyloid A: Implications in Inflammation, Immunity and Tumor Metastasis. </w:t>
      </w:r>
      <w:r w:rsidR="00072E11" w:rsidRPr="00072E11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>Int. J. Mol. Sci.</w:t>
      </w:r>
      <w:r w:rsidR="00BC627D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072E11" w:rsidRPr="00072E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26, 987. </w:t>
      </w:r>
      <w:proofErr w:type="spellStart"/>
      <w:r w:rsidR="00072E11" w:rsidRPr="00072E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doi</w:t>
      </w:r>
      <w:proofErr w:type="spellEnd"/>
      <w:r w:rsidR="00072E11" w:rsidRPr="00072E1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: 10.3390/ijms26030987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450BC"/>
    <w:rsid w:val="00072E11"/>
    <w:rsid w:val="000F2FC7"/>
    <w:rsid w:val="00107368"/>
    <w:rsid w:val="00113BB7"/>
    <w:rsid w:val="00130996"/>
    <w:rsid w:val="001A3E6B"/>
    <w:rsid w:val="002017E6"/>
    <w:rsid w:val="00294059"/>
    <w:rsid w:val="002D0A36"/>
    <w:rsid w:val="003206E4"/>
    <w:rsid w:val="003A6D5C"/>
    <w:rsid w:val="003B3F63"/>
    <w:rsid w:val="003F3C30"/>
    <w:rsid w:val="00413851"/>
    <w:rsid w:val="004A51B6"/>
    <w:rsid w:val="00510CF8"/>
    <w:rsid w:val="00575A29"/>
    <w:rsid w:val="00601754"/>
    <w:rsid w:val="006A34BE"/>
    <w:rsid w:val="006F3F1C"/>
    <w:rsid w:val="007141F2"/>
    <w:rsid w:val="007561D8"/>
    <w:rsid w:val="00795378"/>
    <w:rsid w:val="00796206"/>
    <w:rsid w:val="007A0DC5"/>
    <w:rsid w:val="007C367E"/>
    <w:rsid w:val="008071C5"/>
    <w:rsid w:val="008A54EC"/>
    <w:rsid w:val="00906D34"/>
    <w:rsid w:val="00933DC9"/>
    <w:rsid w:val="00935A31"/>
    <w:rsid w:val="00936D4C"/>
    <w:rsid w:val="009523F9"/>
    <w:rsid w:val="009650DF"/>
    <w:rsid w:val="009B1CBB"/>
    <w:rsid w:val="00A0516D"/>
    <w:rsid w:val="00A13E14"/>
    <w:rsid w:val="00B470CD"/>
    <w:rsid w:val="00B4721D"/>
    <w:rsid w:val="00B8473A"/>
    <w:rsid w:val="00BC627D"/>
    <w:rsid w:val="00C21815"/>
    <w:rsid w:val="00C315D2"/>
    <w:rsid w:val="00C353D8"/>
    <w:rsid w:val="00CD3CF3"/>
    <w:rsid w:val="00CF5A91"/>
    <w:rsid w:val="00D02BB1"/>
    <w:rsid w:val="00D45A74"/>
    <w:rsid w:val="00D7428F"/>
    <w:rsid w:val="00E4578C"/>
    <w:rsid w:val="00E509DD"/>
    <w:rsid w:val="00E85D08"/>
    <w:rsid w:val="00EC3746"/>
    <w:rsid w:val="00F50A04"/>
    <w:rsid w:val="00F539FB"/>
    <w:rsid w:val="00F85528"/>
    <w:rsid w:val="00FE7647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9faf93c-7b46-4b26-8966-6d698e8b4062"/>
    <ds:schemaRef ds:uri="4a84e3ec-4587-4418-b23a-bd5009477010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Prof. Richard D.Ye (MED)</cp:lastModifiedBy>
  <cp:revision>5</cp:revision>
  <cp:lastPrinted>2025-07-28T15:04:00Z</cp:lastPrinted>
  <dcterms:created xsi:type="dcterms:W3CDTF">2025-07-28T15:39:00Z</dcterms:created>
  <dcterms:modified xsi:type="dcterms:W3CDTF">2025-07-28T16:42:00Z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