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8AC" w14:textId="67C180B9" w:rsidR="007F2F01" w:rsidRDefault="009A63FA" w:rsidP="006D5036">
      <w:pPr>
        <w:adjustRightInd w:val="0"/>
        <w:snapToGrid w:val="0"/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P</w:t>
      </w:r>
      <w:r w:rsidR="00E56DE1">
        <w:rPr>
          <w:rFonts w:ascii="Calibri" w:hAnsi="Calibri" w:cs="Calibri" w:hint="eastAsia"/>
          <w:b/>
          <w:sz w:val="20"/>
          <w:szCs w:val="20"/>
          <w:lang w:val="en-AU" w:eastAsia="ko-KR"/>
        </w:rPr>
        <w:t>h</w:t>
      </w:r>
      <w:r w:rsidR="00E56DE1">
        <w:rPr>
          <w:rFonts w:ascii="Calibri" w:hAnsi="Calibri" w:cs="Calibri"/>
          <w:b/>
          <w:sz w:val="20"/>
          <w:szCs w:val="20"/>
          <w:lang w:val="en-AU" w:eastAsia="ko-KR"/>
        </w:rPr>
        <w:t>armacokinetics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681A2F">
        <w:rPr>
          <w:rFonts w:ascii="Calibri" w:hAnsi="Calibri" w:cs="Calibri"/>
          <w:b/>
          <w:sz w:val="20"/>
          <w:szCs w:val="20"/>
          <w:lang w:val="en-AU"/>
        </w:rPr>
        <w:t xml:space="preserve">and </w:t>
      </w:r>
      <w:r w:rsidR="00E56DE1">
        <w:rPr>
          <w:rFonts w:ascii="Calibri" w:hAnsi="Calibri" w:cs="Calibri"/>
          <w:b/>
          <w:sz w:val="20"/>
          <w:szCs w:val="20"/>
          <w:lang w:val="en-AU"/>
        </w:rPr>
        <w:t>pharmacodynamics</w:t>
      </w:r>
      <w:r w:rsidR="00681A2F">
        <w:rPr>
          <w:rFonts w:ascii="Calibri" w:hAnsi="Calibri" w:cs="Calibri"/>
          <w:b/>
          <w:sz w:val="20"/>
          <w:szCs w:val="20"/>
          <w:lang w:val="en-AU"/>
        </w:rPr>
        <w:t xml:space="preserve"> of omeprazole/calcium carbonate versus omeprazole </w:t>
      </w:r>
    </w:p>
    <w:p w14:paraId="3E2983A4" w14:textId="6468E2E2" w:rsidR="009A63FA" w:rsidRPr="009A63FA" w:rsidRDefault="00681A2F" w:rsidP="006D5036">
      <w:pPr>
        <w:adjustRightInd w:val="0"/>
        <w:snapToGrid w:val="0"/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Hyungji Jang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Ki Young Huh MD, PhD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Kyung-Sang</w:t>
      </w:r>
      <w:r>
        <w:rPr>
          <w:rFonts w:ascii="Calibri" w:hAnsi="Calibri" w:cs="Calibri"/>
          <w:sz w:val="20"/>
          <w:szCs w:val="20"/>
          <w:lang w:val="en-AU" w:eastAsia="ko-KR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Yu MD, PhD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Dept of Clin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Pharmacol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7025">
        <w:rPr>
          <w:rFonts w:ascii="Calibri" w:hAnsi="Calibri" w:cs="Calibri"/>
          <w:sz w:val="20"/>
          <w:szCs w:val="20"/>
          <w:lang w:val="en-AU"/>
        </w:rPr>
        <w:t>&amp;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9A63FA">
        <w:rPr>
          <w:rFonts w:ascii="Calibri" w:hAnsi="Calibri" w:cs="Calibri"/>
          <w:sz w:val="20"/>
          <w:szCs w:val="20"/>
          <w:lang w:val="en-AU"/>
        </w:rPr>
        <w:t>Therapeutics, Seoul Natl Univ Coll of Med</w:t>
      </w:r>
      <w:r w:rsidR="00477025" w:rsidRPr="009A63FA">
        <w:rPr>
          <w:rFonts w:ascii="Calibri" w:hAnsi="Calibri" w:cs="Calibri"/>
          <w:sz w:val="20"/>
          <w:szCs w:val="20"/>
          <w:lang w:val="en-AU"/>
        </w:rPr>
        <w:t xml:space="preserve"> &amp; </w:t>
      </w:r>
      <w:r w:rsidRPr="009A63FA">
        <w:rPr>
          <w:rFonts w:ascii="Calibri" w:hAnsi="Calibri" w:cs="Calibri"/>
          <w:sz w:val="20"/>
          <w:szCs w:val="20"/>
          <w:lang w:val="en-AU"/>
        </w:rPr>
        <w:t>Hosp, Seoul, Republic of Korea.</w:t>
      </w:r>
    </w:p>
    <w:p w14:paraId="3D299A95" w14:textId="46AF94DE" w:rsidR="007F2F01" w:rsidRPr="006D5036" w:rsidRDefault="00242B11" w:rsidP="006D5036">
      <w:pPr>
        <w:adjustRightInd w:val="0"/>
        <w:snapToGrid w:val="0"/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3953" wp14:editId="2EAE0BBA">
            <wp:simplePos x="0" y="0"/>
            <wp:positionH relativeFrom="margin">
              <wp:posOffset>4260850</wp:posOffset>
            </wp:positionH>
            <wp:positionV relativeFrom="paragraph">
              <wp:posOffset>92075</wp:posOffset>
            </wp:positionV>
            <wp:extent cx="1828800" cy="822960"/>
            <wp:effectExtent l="0" t="0" r="0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C0C44" w14:textId="115D631A" w:rsidR="007F2F01" w:rsidRDefault="00681A2F" w:rsidP="006D5036">
      <w:pPr>
        <w:adjustRightInd w:val="0"/>
        <w:snapToGrid w:val="0"/>
        <w:jc w:val="both"/>
        <w:rPr>
          <w:rFonts w:ascii="Calibri" w:hAnsi="Calibri" w:cs="Calibri"/>
          <w:sz w:val="20"/>
          <w:szCs w:val="20"/>
          <w:lang w:val="en-AU"/>
        </w:rPr>
      </w:pPr>
      <w:r w:rsidRPr="009A63FA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E2A99" w:rsidRPr="003E2A99">
        <w:rPr>
          <w:rFonts w:ascii="Calibri" w:eastAsia="Calibri" w:hAnsi="Calibri" w:cs="Calibri"/>
          <w:sz w:val="20"/>
          <w:szCs w:val="20"/>
        </w:rPr>
        <w:t>Proton pump inhibitors (PPIs) are widely used to treat acid-related disorders. Enteric-coated PPI formulations offer the advantage of sustained acid suppression but have a delayed onset of action. To address this limitation, a novel formulation combining calcium carbonate 600mg with omeprazole 20 mg (AD-120) has been developed.</w:t>
      </w:r>
    </w:p>
    <w:p w14:paraId="4F0F40C7" w14:textId="76838007" w:rsidR="007F2F01" w:rsidRDefault="00681A2F" w:rsidP="00754016">
      <w:pPr>
        <w:adjustRightInd w:val="0"/>
        <w:snapToGri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Aims.</w:t>
      </w:r>
      <w:r>
        <w:rPr>
          <w:rFonts w:ascii="Calibri" w:hAnsi="Calibri" w:cs="Calibri"/>
          <w:sz w:val="20"/>
          <w:szCs w:val="20"/>
          <w:lang w:val="en-AU"/>
        </w:rPr>
        <w:t xml:space="preserve"> To compare</w:t>
      </w:r>
      <w:r w:rsidR="00285993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PK and PD of AD-120 (</w:t>
      </w:r>
      <w:r>
        <w:rPr>
          <w:rFonts w:ascii="Calibri" w:eastAsia="Calibri" w:hAnsi="Calibri" w:cs="Calibri"/>
          <w:sz w:val="20"/>
          <w:szCs w:val="20"/>
        </w:rPr>
        <w:t xml:space="preserve">omeprazole 20 mg/calcium carbonate 600 mg, </w:t>
      </w:r>
      <w:r>
        <w:rPr>
          <w:rFonts w:ascii="Calibri" w:hAnsi="Calibri" w:cs="Calibri"/>
          <w:sz w:val="20"/>
          <w:szCs w:val="20"/>
          <w:lang w:val="en-AU"/>
        </w:rPr>
        <w:t xml:space="preserve">test) and AD-120A (omeprazole 20 mg enteric-coated tablet, reference) after multiple oral doses in healthy adult </w:t>
      </w:r>
      <w:r w:rsidR="003F1AD1">
        <w:rPr>
          <w:rFonts w:ascii="Calibri" w:hAnsi="Calibri" w:cs="Calibri" w:hint="eastAsia"/>
          <w:sz w:val="20"/>
          <w:szCs w:val="20"/>
          <w:lang w:val="en-AU" w:eastAsia="ko-KR"/>
        </w:rPr>
        <w:t>participants</w:t>
      </w:r>
      <w:r>
        <w:rPr>
          <w:rFonts w:ascii="Calibri" w:hAnsi="Calibri" w:cs="Calibri"/>
          <w:sz w:val="20"/>
          <w:szCs w:val="20"/>
          <w:lang w:val="en-AU"/>
        </w:rPr>
        <w:t>.</w:t>
      </w:r>
    </w:p>
    <w:p w14:paraId="1734F55A" w14:textId="6CDFC331" w:rsidR="007F2F01" w:rsidRDefault="00681A2F">
      <w:pPr>
        <w:adjustRightInd w:val="0"/>
        <w:snapToGrid w:val="0"/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>
        <w:rPr>
          <w:rFonts w:ascii="Calibri" w:hAnsi="Calibri" w:cs="Calibri"/>
          <w:sz w:val="20"/>
          <w:szCs w:val="20"/>
          <w:lang w:val="en-AU"/>
        </w:rPr>
        <w:t>.</w:t>
      </w:r>
      <w: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A randomized, open-label, multiple-dose,</w:t>
      </w:r>
      <w:r w:rsidR="003F1AD1">
        <w:rPr>
          <w:rFonts w:ascii="Calibri" w:hAnsi="Calibri" w:cs="Calibri" w:hint="eastAsia"/>
          <w:sz w:val="20"/>
          <w:szCs w:val="20"/>
          <w:lang w:val="en-AU"/>
        </w:rPr>
        <w:t xml:space="preserve"> 2</w:t>
      </w:r>
      <w:r w:rsidR="003F1AD1" w:rsidRPr="003F1AD1">
        <w:rPr>
          <w:rFonts w:ascii="Calibri" w:hAnsi="Calibri" w:cs="Calibri" w:hint="eastAsia"/>
          <w:sz w:val="20"/>
          <w:szCs w:val="20"/>
          <w:lang w:val="en-AU"/>
        </w:rPr>
        <w:t>×</w:t>
      </w:r>
      <w:r w:rsidR="003F1AD1">
        <w:rPr>
          <w:rFonts w:ascii="Calibri" w:hAnsi="Calibri" w:cs="Calibri" w:hint="eastAsia"/>
          <w:sz w:val="20"/>
          <w:szCs w:val="20"/>
          <w:lang w:val="en-AU"/>
        </w:rPr>
        <w:t xml:space="preserve">2 </w:t>
      </w:r>
      <w:r>
        <w:rPr>
          <w:rFonts w:ascii="Calibri" w:hAnsi="Calibri" w:cs="Calibri"/>
          <w:sz w:val="20"/>
          <w:szCs w:val="20"/>
          <w:lang w:val="en-AU"/>
        </w:rPr>
        <w:t xml:space="preserve">crossover study was conducted (14-day washout). Participants received </w:t>
      </w:r>
      <w:r w:rsidR="003F1AD1">
        <w:rPr>
          <w:rFonts w:ascii="Calibri" w:hAnsi="Calibri" w:cs="Calibri" w:hint="eastAsia"/>
          <w:sz w:val="20"/>
          <w:szCs w:val="20"/>
          <w:lang w:val="en-AU" w:eastAsia="ko-KR"/>
        </w:rPr>
        <w:t xml:space="preserve">either </w:t>
      </w:r>
      <w:r>
        <w:rPr>
          <w:rFonts w:ascii="Calibri" w:hAnsi="Calibri" w:cs="Calibri"/>
          <w:sz w:val="20"/>
          <w:szCs w:val="20"/>
          <w:lang w:val="en-AU"/>
        </w:rPr>
        <w:t>AD-120 or AD-120A once daily for 7 days. Plasma omeprazole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3F1AD1">
        <w:rPr>
          <w:rFonts w:ascii="Calibri" w:eastAsiaTheme="minorEastAsia" w:hAnsi="Calibri" w:cs="Calibri" w:hint="eastAsia"/>
          <w:sz w:val="20"/>
          <w:szCs w:val="20"/>
          <w:lang w:eastAsia="ko-KR"/>
        </w:rPr>
        <w:t xml:space="preserve">concentration </w:t>
      </w:r>
      <w:r>
        <w:rPr>
          <w:rFonts w:ascii="Calibri" w:eastAsia="Calibri" w:hAnsi="Calibri" w:cs="Calibri"/>
          <w:sz w:val="20"/>
          <w:szCs w:val="20"/>
        </w:rPr>
        <w:t>w</w:t>
      </w:r>
      <w:r w:rsidR="00285993"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 xml:space="preserve"> measured up to 24 h post-dose on Days 1 and 7.</w:t>
      </w:r>
      <w:r>
        <w:rPr>
          <w:rFonts w:ascii="Calibri" w:hAnsi="Calibri" w:cs="Calibri"/>
          <w:sz w:val="20"/>
          <w:szCs w:val="20"/>
          <w:lang w:val="en-AU"/>
        </w:rPr>
        <w:t xml:space="preserve"> PD was assessed </w:t>
      </w:r>
      <w:r>
        <w:rPr>
          <w:rFonts w:ascii="Calibri" w:hAnsi="Calibri" w:cs="Calibri"/>
          <w:sz w:val="20"/>
          <w:szCs w:val="20"/>
          <w:lang w:val="en-AU" w:eastAsia="ko-KR"/>
        </w:rPr>
        <w:t xml:space="preserve">by </w:t>
      </w:r>
      <w:r>
        <w:rPr>
          <w:rFonts w:ascii="Calibri" w:hAnsi="Calibri" w:cs="Calibri"/>
          <w:sz w:val="20"/>
          <w:szCs w:val="20"/>
          <w:lang w:val="en-AU"/>
        </w:rPr>
        <w:t>24</w:t>
      </w:r>
      <w:r w:rsidR="00285993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h intragastric pH monitoring at baseline (Day -1) and on Days 1 and 7. 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>P</w:t>
      </w:r>
      <w:r>
        <w:rPr>
          <w:rFonts w:ascii="Calibri" w:hAnsi="Calibri" w:cs="Calibri"/>
          <w:sz w:val="20"/>
          <w:szCs w:val="20"/>
          <w:lang w:val="en-AU"/>
        </w:rPr>
        <w:t>ercent decrease in 24</w:t>
      </w:r>
      <w:r w:rsidR="00285993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h integrated gastric acidity</w:t>
      </w:r>
      <w:r w:rsidR="00466CD4">
        <w:rPr>
          <w:rFonts w:ascii="Calibri" w:hAnsi="Calibri" w:cs="Calibri"/>
          <w:sz w:val="20"/>
          <w:szCs w:val="20"/>
          <w:lang w:val="en-AU"/>
        </w:rPr>
        <w:t xml:space="preserve"> was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1368D">
        <w:rPr>
          <w:rFonts w:ascii="Calibri" w:hAnsi="Calibri" w:cs="Calibri"/>
          <w:sz w:val="20"/>
          <w:szCs w:val="20"/>
          <w:lang w:val="en-AU"/>
        </w:rPr>
        <w:t xml:space="preserve">calculated </w:t>
      </w:r>
      <w:r w:rsidR="0041368D">
        <w:rPr>
          <w:rFonts w:ascii="Calibri" w:eastAsia="Calibri" w:hAnsi="Calibri" w:cs="Calibri"/>
          <w:sz w:val="20"/>
          <w:szCs w:val="20"/>
        </w:rPr>
        <w:t>as [(baseline − post-dose)/baseline] × 100</w:t>
      </w:r>
      <w:r w:rsidR="0041368D">
        <w:rPr>
          <w:rFonts w:ascii="Calibri" w:hAnsi="Calibri" w:cs="Calibri"/>
          <w:sz w:val="20"/>
          <w:szCs w:val="20"/>
          <w:lang w:val="en-AU"/>
        </w:rPr>
        <w:t>. Geometric mean ratio (</w:t>
      </w:r>
      <w:r>
        <w:rPr>
          <w:rFonts w:ascii="Calibri" w:eastAsia="Calibri" w:hAnsi="Calibri" w:cs="Calibri"/>
          <w:sz w:val="20"/>
          <w:szCs w:val="20"/>
        </w:rPr>
        <w:t>GMR</w:t>
      </w:r>
      <w:r w:rsidR="0041368D"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 with 90% CI </w:t>
      </w:r>
      <w:r w:rsidR="0041368D">
        <w:rPr>
          <w:rFonts w:ascii="Calibri" w:eastAsia="Calibri" w:hAnsi="Calibri" w:cs="Calibri"/>
          <w:sz w:val="20"/>
          <w:szCs w:val="20"/>
        </w:rPr>
        <w:t>for</w:t>
      </w:r>
      <w:r w:rsidR="0041368D" w:rsidRPr="0041368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41368D" w:rsidRPr="006D5036">
        <w:rPr>
          <w:rFonts w:ascii="Calibri" w:hAnsi="Calibri" w:cs="Calibri"/>
          <w:sz w:val="20"/>
          <w:szCs w:val="20"/>
          <w:lang w:eastAsia="ko-KR"/>
        </w:rPr>
        <w:t>AUC</w:t>
      </w:r>
      <w:r w:rsidR="000F0AE0" w:rsidRPr="000F0AE0">
        <w:rPr>
          <w:rFonts w:ascii="Calibri" w:hAnsi="Calibri" w:cs="Calibri"/>
          <w:sz w:val="20"/>
          <w:szCs w:val="20"/>
          <w:vertAlign w:val="subscript"/>
          <w:lang w:eastAsia="ko-KR"/>
        </w:rPr>
        <w:t>τ</w:t>
      </w:r>
      <w:r w:rsidR="0041368D">
        <w:rPr>
          <w:rFonts w:ascii="Calibri" w:eastAsia="Calibri" w:hAnsi="Calibri" w:cs="Calibri"/>
          <w:sz w:val="20"/>
          <w:szCs w:val="20"/>
          <w:vertAlign w:val="subscript"/>
        </w:rPr>
        <w:t>,ss</w:t>
      </w:r>
      <w:proofErr w:type="spellEnd"/>
      <w:r w:rsidR="0041368D">
        <w:rPr>
          <w:rFonts w:ascii="Calibri" w:eastAsia="Calibri" w:hAnsi="Calibri" w:cs="Calibri"/>
          <w:sz w:val="20"/>
          <w:szCs w:val="20"/>
        </w:rPr>
        <w:t xml:space="preserve"> and 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>p</w:t>
      </w:r>
      <w:r w:rsidR="005F0AEE">
        <w:rPr>
          <w:rFonts w:ascii="Calibri" w:hAnsi="Calibri" w:cs="Calibri"/>
          <w:sz w:val="20"/>
          <w:szCs w:val="20"/>
          <w:lang w:val="en-AU"/>
        </w:rPr>
        <w:t>ercent decrease in 24 h integrated gastric acidity</w:t>
      </w:r>
      <w:r w:rsidR="0041368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were estimated using a linear mixed </w:t>
      </w:r>
      <w:r w:rsidR="005F0AEE">
        <w:rPr>
          <w:rFonts w:ascii="Calibri" w:eastAsiaTheme="minorEastAsia" w:hAnsi="Calibri" w:cs="Calibri" w:hint="eastAsia"/>
          <w:sz w:val="20"/>
          <w:szCs w:val="20"/>
          <w:lang w:eastAsia="ko-KR"/>
        </w:rPr>
        <w:t xml:space="preserve">effects </w:t>
      </w:r>
      <w:r>
        <w:rPr>
          <w:rFonts w:ascii="Calibri" w:eastAsia="Calibri" w:hAnsi="Calibri" w:cs="Calibri"/>
          <w:sz w:val="20"/>
          <w:szCs w:val="20"/>
        </w:rPr>
        <w:t xml:space="preserve">model. </w:t>
      </w:r>
      <w:proofErr w:type="spellStart"/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  <w:vertAlign w:val="subscript"/>
        </w:rPr>
        <w:t>max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was compared using paired t-test. </w:t>
      </w:r>
    </w:p>
    <w:p w14:paraId="7611D54A" w14:textId="7FDF8B29" w:rsidR="007F2F01" w:rsidRDefault="00681A2F">
      <w:pPr>
        <w:adjustRightInd w:val="0"/>
        <w:snapToGrid w:val="0"/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Results. 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 xml:space="preserve">Among the </w:t>
      </w:r>
      <w:r>
        <w:rPr>
          <w:rFonts w:ascii="Calibri" w:hAnsi="Calibri" w:cs="Calibri"/>
          <w:sz w:val="20"/>
          <w:szCs w:val="20"/>
          <w:lang w:val="en-AU"/>
        </w:rPr>
        <w:t xml:space="preserve">48 randomized 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>participants</w:t>
      </w:r>
      <w:r>
        <w:rPr>
          <w:rFonts w:ascii="Calibri" w:hAnsi="Calibri" w:cs="Calibri"/>
          <w:sz w:val="20"/>
          <w:szCs w:val="20"/>
          <w:lang w:val="en-AU"/>
        </w:rPr>
        <w:t xml:space="preserve">, 45 </w:t>
      </w:r>
      <w:r>
        <w:rPr>
          <w:rFonts w:ascii="Calibri" w:hAnsi="Calibri" w:cs="Calibri"/>
          <w:sz w:val="20"/>
          <w:szCs w:val="20"/>
          <w:lang w:val="en-AU" w:eastAsia="ko-KR"/>
        </w:rPr>
        <w:t>completed the study</w:t>
      </w:r>
      <w:r>
        <w:rPr>
          <w:rFonts w:ascii="Calibri" w:hAnsi="Calibri" w:cs="Calibri"/>
          <w:sz w:val="20"/>
          <w:szCs w:val="20"/>
          <w:lang w:val="en-AU"/>
        </w:rPr>
        <w:t xml:space="preserve">. AD-120 </w:t>
      </w:r>
      <w:r w:rsidR="007D1F54">
        <w:rPr>
          <w:rFonts w:ascii="Calibri" w:hAnsi="Calibri" w:cs="Calibri"/>
          <w:sz w:val="20"/>
          <w:szCs w:val="20"/>
          <w:lang w:val="en-AU"/>
        </w:rPr>
        <w:t>showed</w:t>
      </w:r>
      <w:r>
        <w:rPr>
          <w:rFonts w:ascii="Calibri" w:hAnsi="Calibri" w:cs="Calibri"/>
          <w:sz w:val="20"/>
          <w:szCs w:val="20"/>
          <w:lang w:val="en-AU"/>
        </w:rPr>
        <w:t xml:space="preserve"> faster absorption with median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T</w:t>
      </w:r>
      <w:r>
        <w:rPr>
          <w:rFonts w:ascii="Calibri" w:hAnsi="Calibri" w:cs="Calibri"/>
          <w:sz w:val="20"/>
          <w:szCs w:val="20"/>
          <w:vertAlign w:val="subscript"/>
          <w:lang w:val="en-AU"/>
        </w:rPr>
        <w:t>max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of 0.83 h [0.33-4.00] vs 3.00 h [1.00-6.00] for AD-120A (</w:t>
      </w:r>
      <w:r w:rsidRPr="003B4F53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>
        <w:rPr>
          <w:rFonts w:ascii="Calibri" w:hAnsi="Calibri" w:cs="Calibri"/>
          <w:sz w:val="20"/>
          <w:szCs w:val="20"/>
          <w:lang w:val="en-AU"/>
        </w:rPr>
        <w:t xml:space="preserve">&lt;0.0001). </w:t>
      </w:r>
      <w:r w:rsidR="005F0AEE">
        <w:rPr>
          <w:rFonts w:ascii="Calibri" w:hAnsi="Calibri" w:cs="Calibri"/>
          <w:sz w:val="20"/>
          <w:szCs w:val="20"/>
          <w:lang w:val="en-AU"/>
        </w:rPr>
        <w:t>AUC</w:t>
      </w:r>
      <w:r w:rsidR="000F0AE0" w:rsidRPr="000F0AE0">
        <w:rPr>
          <w:rFonts w:ascii="Calibri" w:hAnsi="Calibri" w:cs="Calibri"/>
          <w:sz w:val="20"/>
          <w:szCs w:val="20"/>
          <w:vertAlign w:val="subscript"/>
          <w:lang w:eastAsia="ko-KR"/>
        </w:rPr>
        <w:t>τ</w:t>
      </w:r>
      <w:r w:rsidR="005F0AEE">
        <w:rPr>
          <w:rFonts w:ascii="Calibri" w:hAnsi="Calibri" w:cs="Calibri"/>
          <w:sz w:val="20"/>
          <w:szCs w:val="20"/>
          <w:vertAlign w:val="subscript"/>
          <w:lang w:val="en-AU"/>
        </w:rPr>
        <w:t>,</w:t>
      </w:r>
      <w:r w:rsidR="008C27CB">
        <w:rPr>
          <w:rFonts w:ascii="Calibri" w:hAnsi="Calibri" w:cs="Calibri"/>
          <w:sz w:val="20"/>
          <w:szCs w:val="20"/>
          <w:vertAlign w:val="subscript"/>
          <w:lang w:val="en-AU"/>
        </w:rPr>
        <w:t xml:space="preserve"> </w:t>
      </w:r>
      <w:r w:rsidR="005F0AEE">
        <w:rPr>
          <w:rFonts w:ascii="Calibri" w:hAnsi="Calibri" w:cs="Calibri"/>
          <w:sz w:val="20"/>
          <w:szCs w:val="20"/>
          <w:vertAlign w:val="subscript"/>
          <w:lang w:val="en-AU"/>
        </w:rPr>
        <w:t>ss</w:t>
      </w:r>
      <w:r w:rsidR="005F0AEE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was comparable 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>between formulations (G</w:t>
      </w:r>
      <w:r>
        <w:rPr>
          <w:rFonts w:ascii="Calibri" w:hAnsi="Calibri" w:cs="Calibri"/>
          <w:sz w:val="20"/>
          <w:szCs w:val="20"/>
          <w:lang w:val="en-AU"/>
        </w:rPr>
        <w:t xml:space="preserve">MR 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 xml:space="preserve">(90% CI) </w:t>
      </w:r>
      <w:r>
        <w:rPr>
          <w:rFonts w:ascii="Calibri" w:hAnsi="Calibri" w:cs="Calibri"/>
          <w:sz w:val="20"/>
          <w:szCs w:val="20"/>
          <w:lang w:val="en-AU"/>
        </w:rPr>
        <w:t>0.8865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 xml:space="preserve"> (</w:t>
      </w:r>
      <w:r>
        <w:rPr>
          <w:rFonts w:ascii="Calibri" w:hAnsi="Calibri" w:cs="Calibri"/>
          <w:sz w:val="20"/>
          <w:szCs w:val="20"/>
          <w:lang w:val="en-AU"/>
        </w:rPr>
        <w:t>0.8068–0.9739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>)</w:t>
      </w:r>
      <w:r>
        <w:rPr>
          <w:rFonts w:ascii="Calibri" w:hAnsi="Calibri" w:cs="Calibri"/>
          <w:sz w:val="20"/>
          <w:szCs w:val="20"/>
          <w:lang w:val="en-AU"/>
        </w:rPr>
        <w:t>).</w:t>
      </w:r>
      <w:r w:rsidR="007D1F5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10E2B">
        <w:rPr>
          <w:rFonts w:ascii="Calibri" w:hAnsi="Calibri" w:cs="Calibri"/>
          <w:sz w:val="20"/>
          <w:szCs w:val="20"/>
          <w:lang w:val="en-AU" w:eastAsia="ko-KR"/>
        </w:rPr>
        <w:t>P</w:t>
      </w:r>
      <w:r>
        <w:rPr>
          <w:rFonts w:ascii="Calibri" w:hAnsi="Calibri" w:cs="Calibri"/>
          <w:sz w:val="20"/>
          <w:szCs w:val="20"/>
          <w:lang w:val="en-AU"/>
        </w:rPr>
        <w:t>ercent decrease in 24</w:t>
      </w:r>
      <w:r w:rsidR="007D1F5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h integrated gastric acidity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 xml:space="preserve"> was comparable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>(</w:t>
      </w:r>
      <w:r>
        <w:rPr>
          <w:rFonts w:ascii="Calibri" w:hAnsi="Calibri" w:cs="Calibri"/>
          <w:sz w:val="20"/>
          <w:szCs w:val="20"/>
          <w:lang w:val="en-AU"/>
        </w:rPr>
        <w:t>74.83±21.61% vs 75.06±16.12%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>;</w:t>
      </w:r>
      <w:r>
        <w:rPr>
          <w:rFonts w:ascii="Calibri" w:hAnsi="Calibri" w:cs="Calibri"/>
          <w:sz w:val="20"/>
          <w:szCs w:val="20"/>
          <w:lang w:val="en-AU"/>
        </w:rPr>
        <w:t xml:space="preserve"> 1.0418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 xml:space="preserve"> (</w:t>
      </w:r>
      <w:r>
        <w:rPr>
          <w:rFonts w:ascii="Calibri" w:hAnsi="Calibri" w:cs="Calibri"/>
          <w:sz w:val="20"/>
          <w:szCs w:val="20"/>
          <w:lang w:val="en-AU"/>
        </w:rPr>
        <w:t>0.9677–1.1216)</w:t>
      </w:r>
      <w:r w:rsidR="005F0AEE">
        <w:rPr>
          <w:rFonts w:ascii="Calibri" w:hAnsi="Calibri" w:cs="Calibri" w:hint="eastAsia"/>
          <w:sz w:val="20"/>
          <w:szCs w:val="20"/>
          <w:lang w:val="en-AU" w:eastAsia="ko-KR"/>
        </w:rPr>
        <w:t>)</w:t>
      </w:r>
      <w:r>
        <w:rPr>
          <w:rFonts w:ascii="Calibri" w:hAnsi="Calibri" w:cs="Calibri"/>
          <w:sz w:val="20"/>
          <w:szCs w:val="20"/>
          <w:lang w:val="en-AU"/>
        </w:rPr>
        <w:t>.  Mean</w:t>
      </w:r>
      <w: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pH-time profiles demonstrated faster pH elevation with AD-120 after both single and multiple doses.  </w:t>
      </w:r>
    </w:p>
    <w:p w14:paraId="25305C37" w14:textId="56F07167" w:rsidR="007F2F01" w:rsidRDefault="00681A2F">
      <w:pPr>
        <w:adjustRightInd w:val="0"/>
        <w:snapToGrid w:val="0"/>
        <w:jc w:val="both"/>
      </w:pPr>
      <w:r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>
        <w:rPr>
          <w:rFonts w:ascii="Calibri" w:hAnsi="Calibri" w:cs="Calibri"/>
          <w:sz w:val="20"/>
          <w:szCs w:val="20"/>
          <w:lang w:val="en-AU"/>
        </w:rPr>
        <w:t xml:space="preserve"> AD-120 demonstrated</w:t>
      </w:r>
      <w:r w:rsidR="007D1F5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faster </w:t>
      </w:r>
      <w:r>
        <w:rPr>
          <w:rFonts w:ascii="Calibri" w:hAnsi="Calibri" w:cs="Calibri"/>
          <w:sz w:val="20"/>
          <w:szCs w:val="20"/>
          <w:lang w:val="en-AU" w:eastAsia="ko-KR"/>
        </w:rPr>
        <w:t xml:space="preserve">omeprazole </w:t>
      </w:r>
      <w:r>
        <w:rPr>
          <w:rFonts w:ascii="Calibri" w:hAnsi="Calibri" w:cs="Calibri"/>
          <w:sz w:val="20"/>
          <w:szCs w:val="20"/>
          <w:lang w:val="en-AU"/>
        </w:rPr>
        <w:t xml:space="preserve">absorption and earlier pH neutralization </w:t>
      </w:r>
      <w:r w:rsidR="007D1F54">
        <w:rPr>
          <w:rFonts w:ascii="Calibri" w:eastAsia="Calibri" w:hAnsi="Calibri" w:cs="Calibri"/>
          <w:sz w:val="20"/>
          <w:szCs w:val="20"/>
        </w:rPr>
        <w:t xml:space="preserve">while maintaining </w:t>
      </w:r>
      <w:r>
        <w:rPr>
          <w:rFonts w:ascii="Calibri" w:hAnsi="Calibri" w:cs="Calibri"/>
          <w:sz w:val="20"/>
          <w:szCs w:val="20"/>
          <w:lang w:val="en-AU"/>
        </w:rPr>
        <w:t>compa</w:t>
      </w:r>
      <w:r w:rsidR="007D1F54">
        <w:rPr>
          <w:rFonts w:ascii="Calibri" w:hAnsi="Calibri" w:cs="Calibri"/>
          <w:sz w:val="20"/>
          <w:szCs w:val="20"/>
          <w:lang w:val="en-AU"/>
        </w:rPr>
        <w:t>rable</w:t>
      </w:r>
      <w:r>
        <w:rPr>
          <w:rFonts w:ascii="Calibri" w:hAnsi="Calibri" w:cs="Calibri"/>
          <w:sz w:val="20"/>
          <w:szCs w:val="20"/>
          <w:lang w:val="en-AU"/>
        </w:rPr>
        <w:t xml:space="preserve"> systemic exposure and acid-suppression effect</w:t>
      </w:r>
      <w:r w:rsidR="007D1F54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D1F54">
        <w:rPr>
          <w:rFonts w:ascii="Calibri" w:hAnsi="Calibri" w:cs="Calibri"/>
          <w:sz w:val="20"/>
          <w:szCs w:val="20"/>
          <w:lang w:val="en-AU"/>
        </w:rPr>
        <w:t>C</w:t>
      </w:r>
      <w:r>
        <w:rPr>
          <w:rFonts w:ascii="Calibri" w:hAnsi="Calibri" w:cs="Calibri"/>
          <w:sz w:val="20"/>
          <w:szCs w:val="20"/>
          <w:lang w:val="en-AU"/>
        </w:rPr>
        <w:t xml:space="preserve">alcium carbonate </w:t>
      </w:r>
      <w:r w:rsidR="007D1F54">
        <w:rPr>
          <w:rFonts w:ascii="Calibri" w:hAnsi="Calibri" w:cs="Calibri"/>
          <w:sz w:val="20"/>
          <w:szCs w:val="20"/>
          <w:lang w:val="en-AU"/>
        </w:rPr>
        <w:t xml:space="preserve">enables </w:t>
      </w:r>
      <w:r>
        <w:rPr>
          <w:rFonts w:ascii="Calibri" w:hAnsi="Calibri" w:cs="Calibri"/>
          <w:sz w:val="20"/>
          <w:szCs w:val="20"/>
          <w:lang w:val="en-AU"/>
        </w:rPr>
        <w:t>rapid gastric pH elevation</w:t>
      </w:r>
      <w:r w:rsidR="007D1F54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addressing the delayed onset </w:t>
      </w:r>
      <w:r w:rsidR="007D1F54">
        <w:rPr>
          <w:rFonts w:ascii="Calibri" w:hAnsi="Calibri" w:cs="Calibri"/>
          <w:sz w:val="20"/>
          <w:szCs w:val="20"/>
          <w:lang w:val="en-AU"/>
        </w:rPr>
        <w:t xml:space="preserve">of </w:t>
      </w:r>
      <w:r>
        <w:rPr>
          <w:rFonts w:ascii="Calibri" w:hAnsi="Calibri" w:cs="Calibri"/>
          <w:sz w:val="20"/>
          <w:szCs w:val="20"/>
          <w:lang w:val="en-AU"/>
        </w:rPr>
        <w:t xml:space="preserve">enteric-coated PPIs. AD-120 may offer advantages for </w:t>
      </w:r>
      <w:r w:rsidR="00B56A0F" w:rsidRPr="00B56A0F">
        <w:rPr>
          <w:rFonts w:ascii="Calibri" w:hAnsi="Calibri" w:cs="Calibri"/>
          <w:sz w:val="20"/>
          <w:szCs w:val="20"/>
          <w:lang w:val="en-AU"/>
        </w:rPr>
        <w:t xml:space="preserve">gastroesophageal reflux disease </w:t>
      </w:r>
      <w:r>
        <w:rPr>
          <w:rFonts w:ascii="Calibri" w:hAnsi="Calibri" w:cs="Calibri"/>
          <w:sz w:val="20"/>
          <w:szCs w:val="20"/>
          <w:lang w:val="en-AU"/>
        </w:rPr>
        <w:t>patients requiring rapid symptom relief.</w:t>
      </w:r>
      <w:r w:rsidR="00BD2608">
        <w:rPr>
          <w:rFonts w:ascii="Calibri" w:hAnsi="Calibri" w:cs="Calibri"/>
          <w:sz w:val="20"/>
          <w:szCs w:val="20"/>
          <w:lang w:val="en-AU"/>
        </w:rPr>
        <w:t xml:space="preserve"> </w:t>
      </w:r>
    </w:p>
    <w:sectPr w:rsidR="007F2F01">
      <w:pgSz w:w="11906" w:h="8391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3FD4" w14:textId="77777777" w:rsidR="00845527" w:rsidRDefault="00845527" w:rsidP="00285993">
      <w:r>
        <w:separator/>
      </w:r>
    </w:p>
  </w:endnote>
  <w:endnote w:type="continuationSeparator" w:id="0">
    <w:p w14:paraId="27231EC1" w14:textId="77777777" w:rsidR="00845527" w:rsidRDefault="00845527" w:rsidP="0028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;新細明體">
    <w:altName w:val="바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60E5" w14:textId="77777777" w:rsidR="00845527" w:rsidRDefault="00845527" w:rsidP="00285993">
      <w:r>
        <w:separator/>
      </w:r>
    </w:p>
  </w:footnote>
  <w:footnote w:type="continuationSeparator" w:id="0">
    <w:p w14:paraId="5131CA73" w14:textId="77777777" w:rsidR="00845527" w:rsidRDefault="00845527" w:rsidP="0028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A0A64"/>
    <w:multiLevelType w:val="multilevel"/>
    <w:tmpl w:val="7D8A84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01"/>
    <w:rsid w:val="00065149"/>
    <w:rsid w:val="000B34E8"/>
    <w:rsid w:val="000F0AE0"/>
    <w:rsid w:val="0011210B"/>
    <w:rsid w:val="00122D11"/>
    <w:rsid w:val="00122F24"/>
    <w:rsid w:val="001445D4"/>
    <w:rsid w:val="0015275B"/>
    <w:rsid w:val="001D40CD"/>
    <w:rsid w:val="00205B32"/>
    <w:rsid w:val="00207524"/>
    <w:rsid w:val="00210E2B"/>
    <w:rsid w:val="00242B11"/>
    <w:rsid w:val="00266A48"/>
    <w:rsid w:val="0027575E"/>
    <w:rsid w:val="00285993"/>
    <w:rsid w:val="00292375"/>
    <w:rsid w:val="002B18CA"/>
    <w:rsid w:val="002D178C"/>
    <w:rsid w:val="002D63E5"/>
    <w:rsid w:val="002E42BF"/>
    <w:rsid w:val="00324664"/>
    <w:rsid w:val="003455DF"/>
    <w:rsid w:val="003A6D5B"/>
    <w:rsid w:val="003B4F53"/>
    <w:rsid w:val="003E2A99"/>
    <w:rsid w:val="003F1AD1"/>
    <w:rsid w:val="0041368D"/>
    <w:rsid w:val="004468B7"/>
    <w:rsid w:val="00466CD4"/>
    <w:rsid w:val="00477025"/>
    <w:rsid w:val="00522EF8"/>
    <w:rsid w:val="00571034"/>
    <w:rsid w:val="005962DD"/>
    <w:rsid w:val="005B2B54"/>
    <w:rsid w:val="005F0AEE"/>
    <w:rsid w:val="00647136"/>
    <w:rsid w:val="006649FD"/>
    <w:rsid w:val="00681A2F"/>
    <w:rsid w:val="006C27F8"/>
    <w:rsid w:val="006D2CFC"/>
    <w:rsid w:val="006D5036"/>
    <w:rsid w:val="0071504B"/>
    <w:rsid w:val="0072100F"/>
    <w:rsid w:val="00754016"/>
    <w:rsid w:val="00761A76"/>
    <w:rsid w:val="007A652C"/>
    <w:rsid w:val="007D1F54"/>
    <w:rsid w:val="007D6610"/>
    <w:rsid w:val="007E4D2E"/>
    <w:rsid w:val="007F2F01"/>
    <w:rsid w:val="00815C01"/>
    <w:rsid w:val="00816639"/>
    <w:rsid w:val="00845527"/>
    <w:rsid w:val="00845FE5"/>
    <w:rsid w:val="00876C79"/>
    <w:rsid w:val="00895FCB"/>
    <w:rsid w:val="008C27CB"/>
    <w:rsid w:val="00936B33"/>
    <w:rsid w:val="00973B61"/>
    <w:rsid w:val="009A51DB"/>
    <w:rsid w:val="009A63FA"/>
    <w:rsid w:val="00A105CA"/>
    <w:rsid w:val="00A11467"/>
    <w:rsid w:val="00AA7C80"/>
    <w:rsid w:val="00AF0186"/>
    <w:rsid w:val="00B350D7"/>
    <w:rsid w:val="00B56A0F"/>
    <w:rsid w:val="00B85039"/>
    <w:rsid w:val="00BD2608"/>
    <w:rsid w:val="00BD68AD"/>
    <w:rsid w:val="00D22C8B"/>
    <w:rsid w:val="00D8697E"/>
    <w:rsid w:val="00DB7A4D"/>
    <w:rsid w:val="00DC21A9"/>
    <w:rsid w:val="00E21B09"/>
    <w:rsid w:val="00E41361"/>
    <w:rsid w:val="00E45F99"/>
    <w:rsid w:val="00E56DE1"/>
    <w:rsid w:val="00E841EF"/>
    <w:rsid w:val="00E8595D"/>
    <w:rsid w:val="00E92DED"/>
    <w:rsid w:val="00ED64D7"/>
    <w:rsid w:val="00F5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9123A"/>
  <w15:docId w15:val="{D9BAB302-4C81-46A6-B8AC-87854A9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바탕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맑은 고딕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b/>
      <w:kern w:val="2"/>
      <w:sz w:val="28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PMingLiU;新細明體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제목 5 Char"/>
    <w:qFormat/>
    <w:rPr>
      <w:rFonts w:ascii="Calibri" w:eastAsia="PMingLiU;新細明體" w:hAnsi="Calibri" w:cs="Times New Roman"/>
      <w:b/>
      <w:bCs/>
      <w:i/>
      <w:iCs/>
      <w:sz w:val="26"/>
      <w:szCs w:val="26"/>
    </w:rPr>
  </w:style>
  <w:style w:type="character" w:customStyle="1" w:styleId="Char">
    <w:name w:val="풍선 도움말 텍스트 Char"/>
    <w:qFormat/>
    <w:rPr>
      <w:rFonts w:ascii="Tahoma" w:hAnsi="Tahoma" w:cs="Tahoma"/>
      <w:sz w:val="16"/>
      <w:szCs w:val="16"/>
      <w:lang w:val="en-US"/>
    </w:rPr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563C1"/>
      <w:u w:val="single"/>
    </w:rPr>
  </w:style>
  <w:style w:type="character" w:styleId="a5">
    <w:name w:val="Unresolved Mention"/>
    <w:qFormat/>
    <w:rPr>
      <w:color w:val="605E5C"/>
      <w:shd w:val="clear" w:color="auto" w:fill="E1DFDD"/>
    </w:rPr>
  </w:style>
  <w:style w:type="character" w:customStyle="1" w:styleId="Char0">
    <w:name w:val="머리글 Char"/>
    <w:qFormat/>
    <w:rPr>
      <w:sz w:val="24"/>
      <w:szCs w:val="24"/>
    </w:rPr>
  </w:style>
  <w:style w:type="character" w:customStyle="1" w:styleId="Char1">
    <w:name w:val="바닥글 Char"/>
    <w:qFormat/>
    <w:rPr>
      <w:sz w:val="24"/>
      <w:szCs w:val="24"/>
    </w:rPr>
  </w:style>
  <w:style w:type="character" w:styleId="a6">
    <w:name w:val="annotation reference"/>
    <w:qFormat/>
    <w:rPr>
      <w:sz w:val="18"/>
      <w:szCs w:val="18"/>
    </w:rPr>
  </w:style>
  <w:style w:type="character" w:customStyle="1" w:styleId="Char2">
    <w:name w:val="메모 텍스트 Char"/>
    <w:qFormat/>
    <w:rPr>
      <w:sz w:val="24"/>
      <w:szCs w:val="24"/>
    </w:rPr>
  </w:style>
  <w:style w:type="character" w:customStyle="1" w:styleId="Char3">
    <w:name w:val="메모 주제 Char"/>
    <w:qFormat/>
    <w:rPr>
      <w:b/>
      <w:bCs/>
      <w:sz w:val="24"/>
      <w:szCs w:val="24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30">
    <w:name w:val="Body Text Indent 3"/>
    <w:basedOn w:val="a"/>
    <w:qFormat/>
    <w:pPr>
      <w:spacing w:before="120" w:after="120"/>
      <w:ind w:left="-90"/>
      <w:jc w:val="center"/>
    </w:pPr>
    <w:rPr>
      <w:rFonts w:ascii="Times" w:hAnsi="Times" w:cs="Times"/>
      <w:szCs w:val="20"/>
    </w:rPr>
  </w:style>
  <w:style w:type="paragraph" w:customStyle="1" w:styleId="Default">
    <w:name w:val="Default"/>
    <w:qFormat/>
    <w:pPr>
      <w:widowControl w:val="0"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80"/>
        <w:tab w:val="right" w:pos="9360"/>
      </w:tabs>
    </w:pPr>
  </w:style>
  <w:style w:type="paragraph" w:styleId="ac">
    <w:name w:val="footer"/>
    <w:basedOn w:val="a"/>
    <w:pPr>
      <w:tabs>
        <w:tab w:val="center" w:pos="4680"/>
        <w:tab w:val="right" w:pos="9360"/>
      </w:tabs>
    </w:pPr>
  </w:style>
  <w:style w:type="paragraph" w:styleId="ad">
    <w:name w:val="Revision"/>
    <w:qFormat/>
    <w:rPr>
      <w:rFonts w:ascii="Times New Roman" w:eastAsia="맑은 고딕" w:hAnsi="Times New Roman" w:cs="Times New Roman"/>
      <w:lang w:bidi="ar-SA"/>
    </w:rPr>
  </w:style>
  <w:style w:type="paragraph" w:styleId="ae">
    <w:name w:val="annotation text"/>
    <w:basedOn w:val="a"/>
    <w:qFormat/>
  </w:style>
  <w:style w:type="paragraph" w:styleId="af">
    <w:name w:val="annotation subject"/>
    <w:basedOn w:val="ae"/>
    <w:next w:val="ae"/>
    <w:qFormat/>
    <w:rPr>
      <w:b/>
      <w:bCs/>
    </w:rPr>
  </w:style>
  <w:style w:type="character" w:styleId="af0">
    <w:name w:val="Placeholder Text"/>
    <w:basedOn w:val="a0"/>
    <w:uiPriority w:val="99"/>
    <w:semiHidden/>
    <w:rsid w:val="00761A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돋움"/>
        <a:cs typeface="DejaVu Sans"/>
      </a:majorFont>
      <a:minorFont>
        <a:latin typeface="Arial"/>
        <a:ea typeface="바탕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Hyungji Jang</cp:lastModifiedBy>
  <cp:revision>67</cp:revision>
  <cp:lastPrinted>2026-02-05T02:11:00Z</cp:lastPrinted>
  <dcterms:created xsi:type="dcterms:W3CDTF">2026-02-03T05:54:00Z</dcterms:created>
  <dcterms:modified xsi:type="dcterms:W3CDTF">2026-02-11T00:18:00Z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2025-01-04T01:52:00Z</dcterms:created>
  <dc:creator>gillard</dc:creator>
  <dc:description/>
  <cp:keywords/>
  <dc:language>en-US</dc:language>
  <cp:lastModifiedBy>Hyungji Jang</cp:lastModifiedBy>
  <cp:lastPrinted>2013-06-13T15:15:00Z</cp:lastPrinted>
  <dcterms:modified xsi:type="dcterms:W3CDTF">2026-02-03T05:45:00Z</dcterms:modified>
  <cp:revision>16</cp:revision>
  <dc:subject/>
  <dc:title>Submission Format for ConnectED 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