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36A13" w14:textId="1AF10A91" w:rsidR="001D1755" w:rsidRPr="00C3219E" w:rsidRDefault="00C9556B" w:rsidP="00C3219E">
      <w:pPr>
        <w:widowControl/>
        <w:autoSpaceDE w:val="0"/>
        <w:autoSpaceDN w:val="0"/>
        <w:adjustRightInd w:val="0"/>
        <w:spacing w:after="240" w:line="520" w:lineRule="atLeast"/>
        <w:jc w:val="center"/>
        <w:rPr>
          <w:rFonts w:ascii="Calibri" w:hAnsi="Calibri" w:cs="Times"/>
          <w:b/>
          <w:kern w:val="0"/>
          <w:sz w:val="28"/>
          <w:szCs w:val="28"/>
        </w:rPr>
      </w:pPr>
      <w:r>
        <w:rPr>
          <w:rFonts w:ascii="Calibri" w:hAnsi="Calibri" w:cs="Times"/>
          <w:b/>
          <w:kern w:val="0"/>
          <w:sz w:val="28"/>
          <w:szCs w:val="28"/>
        </w:rPr>
        <w:t>Vortex fluidic c</w:t>
      </w:r>
      <w:r w:rsidR="00333486">
        <w:rPr>
          <w:rFonts w:ascii="Calibri" w:hAnsi="Calibri" w:cs="Times"/>
          <w:b/>
          <w:kern w:val="0"/>
          <w:sz w:val="28"/>
          <w:szCs w:val="28"/>
        </w:rPr>
        <w:t>ontroll</w:t>
      </w:r>
      <w:r>
        <w:rPr>
          <w:rFonts w:ascii="Calibri" w:hAnsi="Calibri" w:cs="Times"/>
          <w:b/>
          <w:kern w:val="0"/>
          <w:sz w:val="28"/>
          <w:szCs w:val="28"/>
        </w:rPr>
        <w:t>ed</w:t>
      </w:r>
      <w:r w:rsidR="00333486">
        <w:rPr>
          <w:rFonts w:ascii="Calibri" w:hAnsi="Calibri" w:cs="Times"/>
          <w:b/>
          <w:kern w:val="0"/>
          <w:sz w:val="28"/>
          <w:szCs w:val="28"/>
        </w:rPr>
        <w:t xml:space="preserve"> </w:t>
      </w:r>
      <w:r w:rsidR="00572178">
        <w:rPr>
          <w:rFonts w:ascii="Calibri" w:hAnsi="Calibri" w:cs="Times"/>
          <w:b/>
          <w:kern w:val="0"/>
          <w:sz w:val="28"/>
          <w:szCs w:val="28"/>
        </w:rPr>
        <w:t>self-</w:t>
      </w:r>
      <w:r>
        <w:rPr>
          <w:rFonts w:ascii="Calibri" w:hAnsi="Calibri" w:cs="Times"/>
          <w:b/>
          <w:kern w:val="0"/>
          <w:sz w:val="28"/>
          <w:szCs w:val="28"/>
        </w:rPr>
        <w:t>assembly and growth of nanoparticles</w:t>
      </w:r>
    </w:p>
    <w:p w14:paraId="58EAC8C1" w14:textId="56C5F32F" w:rsidR="00C3219E" w:rsidRPr="00333486" w:rsidRDefault="00C3219E" w:rsidP="00C3219E">
      <w:pPr>
        <w:widowControl/>
        <w:jc w:val="center"/>
        <w:rPr>
          <w:rFonts w:ascii="Times New Roman" w:eastAsia="Times New Roman" w:hAnsi="Times New Roman" w:cs="Times New Roman"/>
          <w:i/>
          <w:kern w:val="0"/>
          <w:lang w:val="en-AU"/>
        </w:rPr>
      </w:pPr>
      <w:r w:rsidRPr="00333486">
        <w:rPr>
          <w:rFonts w:ascii="Times New Roman" w:eastAsia="Times New Roman" w:hAnsi="Times New Roman" w:cs="Times New Roman"/>
          <w:i/>
          <w:kern w:val="0"/>
        </w:rPr>
        <w:t>Colin L. Raston</w:t>
      </w:r>
    </w:p>
    <w:p w14:paraId="12570A96" w14:textId="1A64AE19" w:rsidR="00C3219E" w:rsidRPr="00333486" w:rsidRDefault="00333486" w:rsidP="00C3219E">
      <w:pPr>
        <w:widowControl/>
        <w:jc w:val="center"/>
        <w:rPr>
          <w:rFonts w:ascii="Times New Roman" w:eastAsia="Times New Roman" w:hAnsi="Times New Roman" w:cs="Times New Roman"/>
          <w:kern w:val="0"/>
        </w:rPr>
      </w:pPr>
      <w:r w:rsidRPr="00333486">
        <w:rPr>
          <w:rFonts w:ascii="Times New Roman" w:eastAsia="Times New Roman" w:hAnsi="Times New Roman" w:cs="Times New Roman"/>
          <w:kern w:val="0"/>
        </w:rPr>
        <w:t>Flinders Institute for Nanos</w:t>
      </w:r>
      <w:r w:rsidR="00C3219E" w:rsidRPr="00333486">
        <w:rPr>
          <w:rFonts w:ascii="Times New Roman" w:eastAsia="Times New Roman" w:hAnsi="Times New Roman" w:cs="Times New Roman"/>
          <w:kern w:val="0"/>
        </w:rPr>
        <w:t>cale</w:t>
      </w:r>
      <w:r w:rsidR="00DA3C8A">
        <w:rPr>
          <w:rFonts w:ascii="Times New Roman" w:eastAsia="Times New Roman" w:hAnsi="Times New Roman" w:cs="Times New Roman"/>
          <w:kern w:val="0"/>
        </w:rPr>
        <w:t xml:space="preserve"> Science and Technology</w:t>
      </w:r>
      <w:r w:rsidR="00C3219E" w:rsidRPr="00333486">
        <w:rPr>
          <w:rFonts w:ascii="Times New Roman" w:eastAsia="Times New Roman" w:hAnsi="Times New Roman" w:cs="Times New Roman"/>
          <w:kern w:val="0"/>
        </w:rPr>
        <w:t>, Col</w:t>
      </w:r>
      <w:r w:rsidRPr="00333486">
        <w:rPr>
          <w:rFonts w:ascii="Times New Roman" w:eastAsia="Times New Roman" w:hAnsi="Times New Roman" w:cs="Times New Roman"/>
          <w:kern w:val="0"/>
        </w:rPr>
        <w:t>lege of Science and Engineering, Flinders University</w:t>
      </w:r>
      <w:r w:rsidR="00C3219E" w:rsidRPr="00333486">
        <w:rPr>
          <w:rFonts w:ascii="Times New Roman" w:eastAsia="Times New Roman" w:hAnsi="Times New Roman" w:cs="Times New Roman"/>
          <w:kern w:val="0"/>
        </w:rPr>
        <w:t>.</w:t>
      </w:r>
    </w:p>
    <w:p w14:paraId="54191C3D" w14:textId="77777777" w:rsidR="001D1755" w:rsidRPr="00333486" w:rsidRDefault="001D1755" w:rsidP="001D1755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 New Roman" w:hAnsi="Times New Roman" w:cs="Times New Roman"/>
          <w:kern w:val="0"/>
          <w:lang w:val="en-AU"/>
        </w:rPr>
      </w:pPr>
    </w:p>
    <w:p w14:paraId="003BEB21" w14:textId="43E78FA0" w:rsidR="009A4E09" w:rsidRDefault="00C9556B" w:rsidP="009A4E09">
      <w:pPr>
        <w:widowControl/>
        <w:autoSpaceDE w:val="0"/>
        <w:autoSpaceDN w:val="0"/>
        <w:adjustRightInd w:val="0"/>
        <w:spacing w:after="240" w:line="300" w:lineRule="atLeast"/>
        <w:ind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The vortex fluidic device (VFD) imparts mechanical energy into thin films </w:t>
      </w:r>
      <w:r w:rsidR="009A4E09">
        <w:rPr>
          <w:rFonts w:ascii="Times New Roman" w:hAnsi="Times New Roman" w:cs="Times New Roman"/>
          <w:kern w:val="0"/>
        </w:rPr>
        <w:t xml:space="preserve">of liquid </w:t>
      </w:r>
      <w:r>
        <w:rPr>
          <w:rFonts w:ascii="Times New Roman" w:hAnsi="Times New Roman" w:cs="Times New Roman"/>
          <w:kern w:val="0"/>
        </w:rPr>
        <w:t>in a controlled way</w:t>
      </w:r>
      <w:r w:rsidR="00263A0D">
        <w:rPr>
          <w:rFonts w:ascii="Times New Roman" w:hAnsi="Times New Roman" w:cs="Times New Roman"/>
          <w:kern w:val="0"/>
        </w:rPr>
        <w:t xml:space="preserve"> under continuous flow conditions</w:t>
      </w:r>
      <w:r>
        <w:rPr>
          <w:rFonts w:ascii="Times New Roman" w:hAnsi="Times New Roman" w:cs="Times New Roman"/>
          <w:kern w:val="0"/>
        </w:rPr>
        <w:t xml:space="preserve">, and this can be </w:t>
      </w:r>
      <w:r w:rsidR="009A4E09">
        <w:rPr>
          <w:rFonts w:ascii="Times New Roman" w:hAnsi="Times New Roman" w:cs="Times New Roman"/>
          <w:kern w:val="0"/>
        </w:rPr>
        <w:t>harnessed</w:t>
      </w:r>
      <w:r>
        <w:rPr>
          <w:rFonts w:ascii="Times New Roman" w:hAnsi="Times New Roman" w:cs="Times New Roman"/>
          <w:kern w:val="0"/>
        </w:rPr>
        <w:t xml:space="preserve"> for the bo</w:t>
      </w:r>
      <w:r w:rsidR="00263A0D">
        <w:rPr>
          <w:rFonts w:ascii="Times New Roman" w:hAnsi="Times New Roman" w:cs="Times New Roman"/>
          <w:kern w:val="0"/>
        </w:rPr>
        <w:t>ttom up growth of nanocrystals and nanoparticles involving self-assembly processes, along with the ability to probe the structure of self-organized systems.</w:t>
      </w:r>
      <w:r w:rsidR="00DA3C8A" w:rsidRPr="00DA3C8A">
        <w:rPr>
          <w:rFonts w:ascii="Times New Roman" w:hAnsi="Times New Roman" w:cs="Times New Roman"/>
          <w:kern w:val="0"/>
          <w:vertAlign w:val="superscript"/>
        </w:rPr>
        <w:t>1-5</w:t>
      </w:r>
      <w:r w:rsidR="00263A0D">
        <w:rPr>
          <w:rFonts w:ascii="Times New Roman" w:hAnsi="Times New Roman" w:cs="Times New Roman"/>
          <w:kern w:val="0"/>
        </w:rPr>
        <w:t xml:space="preserve"> </w:t>
      </w:r>
      <w:r w:rsidR="009A4E09">
        <w:rPr>
          <w:rFonts w:ascii="Times New Roman" w:hAnsi="Times New Roman" w:cs="Times New Roman"/>
          <w:kern w:val="0"/>
        </w:rPr>
        <w:t>Such control</w:t>
      </w:r>
      <w:r w:rsidR="00263A0D">
        <w:rPr>
          <w:rFonts w:ascii="Times New Roman" w:hAnsi="Times New Roman" w:cs="Times New Roman"/>
          <w:kern w:val="0"/>
        </w:rPr>
        <w:t xml:space="preserve"> can be achieved by systematically exploring the parameter space for the thin film microfluidic platform, including the tilt angle of the rapidly rotating tube, </w:t>
      </w:r>
      <w:r w:rsidR="009A4E09" w:rsidRPr="009A4E09">
        <w:rPr>
          <w:rFonts w:ascii="Symbol" w:hAnsi="Symbol" w:cs="Times New Roman"/>
          <w:kern w:val="0"/>
        </w:rPr>
        <w:t></w:t>
      </w:r>
      <w:r w:rsidR="009A4E09">
        <w:rPr>
          <w:rFonts w:ascii="Times New Roman" w:hAnsi="Times New Roman" w:cs="Times New Roman"/>
          <w:kern w:val="0"/>
        </w:rPr>
        <w:t xml:space="preserve">, </w:t>
      </w:r>
      <w:r w:rsidR="00263A0D">
        <w:rPr>
          <w:rFonts w:ascii="Times New Roman" w:hAnsi="Times New Roman" w:cs="Times New Roman"/>
          <w:kern w:val="0"/>
        </w:rPr>
        <w:t>flow rate, choice of solvent, targeting solvents with high sustainability metrics,</w:t>
      </w:r>
      <w:r w:rsidR="009A4E09">
        <w:rPr>
          <w:rFonts w:ascii="Times New Roman" w:hAnsi="Times New Roman" w:cs="Times New Roman"/>
          <w:kern w:val="0"/>
        </w:rPr>
        <w:t xml:space="preserve"> concentration</w:t>
      </w:r>
      <w:r w:rsidR="00263A0D">
        <w:rPr>
          <w:rFonts w:ascii="Times New Roman" w:hAnsi="Times New Roman" w:cs="Times New Roman"/>
          <w:kern w:val="0"/>
        </w:rPr>
        <w:t>, temperature, and field effects</w:t>
      </w:r>
      <w:r w:rsidR="00DA3C8A">
        <w:rPr>
          <w:rFonts w:ascii="Times New Roman" w:hAnsi="Times New Roman" w:cs="Times New Roman"/>
          <w:kern w:val="0"/>
        </w:rPr>
        <w:t>,</w:t>
      </w:r>
      <w:r w:rsidR="00263A0D">
        <w:rPr>
          <w:rFonts w:ascii="Times New Roman" w:hAnsi="Times New Roman" w:cs="Times New Roman"/>
          <w:kern w:val="0"/>
        </w:rPr>
        <w:t xml:space="preserve"> </w:t>
      </w:r>
      <w:r w:rsidR="00DA3C8A">
        <w:rPr>
          <w:rFonts w:ascii="Times New Roman" w:hAnsi="Times New Roman" w:cs="Times New Roman"/>
          <w:kern w:val="0"/>
        </w:rPr>
        <w:t>in particular</w:t>
      </w:r>
      <w:r w:rsidR="00263A0D">
        <w:rPr>
          <w:rFonts w:ascii="Times New Roman" w:hAnsi="Times New Roman" w:cs="Times New Roman"/>
          <w:kern w:val="0"/>
        </w:rPr>
        <w:t xml:space="preserve"> magnetic, UV-vis, NIR, electric and plasma. </w:t>
      </w:r>
    </w:p>
    <w:p w14:paraId="625D38FC" w14:textId="4AE39DF4" w:rsidR="001D1755" w:rsidRPr="00333486" w:rsidRDefault="00263A0D" w:rsidP="009A4E09">
      <w:pPr>
        <w:widowControl/>
        <w:autoSpaceDE w:val="0"/>
        <w:autoSpaceDN w:val="0"/>
        <w:adjustRightInd w:val="0"/>
        <w:spacing w:after="240" w:line="300" w:lineRule="atLeast"/>
        <w:ind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The </w:t>
      </w:r>
      <w:r w:rsidR="009A4E09">
        <w:rPr>
          <w:rFonts w:ascii="Times New Roman" w:hAnsi="Times New Roman" w:cs="Times New Roman"/>
          <w:kern w:val="0"/>
        </w:rPr>
        <w:t xml:space="preserve">dynamic </w:t>
      </w:r>
      <w:r>
        <w:rPr>
          <w:rFonts w:ascii="Times New Roman" w:hAnsi="Times New Roman" w:cs="Times New Roman"/>
          <w:kern w:val="0"/>
        </w:rPr>
        <w:t>thin film in the VFD has high heat and mass transfer, with Faraday waves on the surface</w:t>
      </w:r>
      <w:r w:rsidR="009A4E09">
        <w:rPr>
          <w:rFonts w:ascii="Times New Roman" w:hAnsi="Times New Roman" w:cs="Times New Roman"/>
          <w:kern w:val="0"/>
        </w:rPr>
        <w:t xml:space="preserve"> of the liquid</w:t>
      </w:r>
      <w:r>
        <w:rPr>
          <w:rFonts w:ascii="Times New Roman" w:hAnsi="Times New Roman" w:cs="Times New Roman"/>
          <w:kern w:val="0"/>
        </w:rPr>
        <w:t xml:space="preserve">. </w:t>
      </w:r>
      <w:r w:rsidR="009A4E09">
        <w:rPr>
          <w:rFonts w:ascii="Times New Roman" w:hAnsi="Times New Roman" w:cs="Times New Roman"/>
          <w:kern w:val="0"/>
        </w:rPr>
        <w:t>The</w:t>
      </w:r>
      <w:r>
        <w:rPr>
          <w:rFonts w:ascii="Times New Roman" w:hAnsi="Times New Roman" w:cs="Times New Roman"/>
          <w:kern w:val="0"/>
        </w:rPr>
        <w:t xml:space="preserve"> fluid flow in the VFD is complex, and details of this will be presented, along with controlling the size, shape, morphology and aggregation of nanoparticles</w:t>
      </w:r>
      <w:r w:rsidR="00572178">
        <w:rPr>
          <w:rFonts w:ascii="Times New Roman" w:hAnsi="Times New Roman" w:cs="Times New Roman"/>
          <w:kern w:val="0"/>
        </w:rPr>
        <w:t>, for a diversity of materials</w:t>
      </w:r>
      <w:r w:rsidR="00D22C1B">
        <w:rPr>
          <w:rFonts w:ascii="Times New Roman" w:hAnsi="Times New Roman" w:cs="Times New Roman"/>
          <w:kern w:val="0"/>
        </w:rPr>
        <w:t>, Figure 1</w:t>
      </w:r>
      <w:bookmarkStart w:id="0" w:name="_GoBack"/>
      <w:bookmarkEnd w:id="0"/>
      <w:r>
        <w:rPr>
          <w:rFonts w:ascii="Times New Roman" w:hAnsi="Times New Roman" w:cs="Times New Roman"/>
          <w:kern w:val="0"/>
        </w:rPr>
        <w:t xml:space="preserve">. </w:t>
      </w:r>
      <w:r w:rsidR="00572178">
        <w:rPr>
          <w:rFonts w:ascii="Times New Roman" w:hAnsi="Times New Roman" w:cs="Times New Roman"/>
          <w:kern w:val="0"/>
        </w:rPr>
        <w:t>Processing in a</w:t>
      </w:r>
      <w:r>
        <w:rPr>
          <w:rFonts w:ascii="Times New Roman" w:hAnsi="Times New Roman" w:cs="Times New Roman"/>
          <w:kern w:val="0"/>
        </w:rPr>
        <w:t xml:space="preserve"> rotating tube</w:t>
      </w:r>
      <w:r w:rsidR="00572178">
        <w:rPr>
          <w:rFonts w:ascii="Times New Roman" w:hAnsi="Times New Roman" w:cs="Times New Roman"/>
          <w:kern w:val="0"/>
        </w:rPr>
        <w:t xml:space="preserve"> (typically 20 mm diameter as quartz or borosilicate glass, 19 cm long)</w:t>
      </w:r>
      <w:r>
        <w:rPr>
          <w:rFonts w:ascii="Times New Roman" w:hAnsi="Times New Roman" w:cs="Times New Roman"/>
          <w:kern w:val="0"/>
        </w:rPr>
        <w:t xml:space="preserve"> lends itself for real time monitoring </w:t>
      </w:r>
      <w:r w:rsidR="00572178">
        <w:rPr>
          <w:rFonts w:ascii="Times New Roman" w:hAnsi="Times New Roman" w:cs="Times New Roman"/>
          <w:kern w:val="0"/>
        </w:rPr>
        <w:t>as a powerful tool for</w:t>
      </w:r>
      <w:r>
        <w:rPr>
          <w:rFonts w:ascii="Times New Roman" w:hAnsi="Times New Roman" w:cs="Times New Roman"/>
          <w:kern w:val="0"/>
        </w:rPr>
        <w:t xml:space="preserve"> understanding t</w:t>
      </w:r>
      <w:r w:rsidR="009A4E09">
        <w:rPr>
          <w:rFonts w:ascii="Times New Roman" w:hAnsi="Times New Roman" w:cs="Times New Roman"/>
          <w:kern w:val="0"/>
        </w:rPr>
        <w:t>he</w:t>
      </w:r>
      <w:r w:rsidR="00572178">
        <w:rPr>
          <w:rFonts w:ascii="Times New Roman" w:hAnsi="Times New Roman" w:cs="Times New Roman"/>
          <w:kern w:val="0"/>
        </w:rPr>
        <w:t xml:space="preserve"> </w:t>
      </w:r>
      <w:r w:rsidR="009A4E09">
        <w:rPr>
          <w:rFonts w:ascii="Times New Roman" w:hAnsi="Times New Roman" w:cs="Times New Roman"/>
          <w:kern w:val="0"/>
        </w:rPr>
        <w:t>mechanism of particle growth,</w:t>
      </w:r>
      <w:r w:rsidR="00A37E67">
        <w:rPr>
          <w:rFonts w:ascii="Times New Roman" w:hAnsi="Times New Roman" w:cs="Times New Roman"/>
          <w:kern w:val="0"/>
        </w:rPr>
        <w:t xml:space="preserve"> as a feedback loop for further optimizing the processing.</w:t>
      </w:r>
      <w:r w:rsidR="009A4E09">
        <w:rPr>
          <w:rFonts w:ascii="Times New Roman" w:hAnsi="Times New Roman" w:cs="Times New Roman"/>
          <w:kern w:val="0"/>
        </w:rPr>
        <w:t xml:space="preserve"> </w:t>
      </w:r>
      <w:r w:rsidR="00A37E67">
        <w:rPr>
          <w:rFonts w:ascii="Times New Roman" w:hAnsi="Times New Roman" w:cs="Times New Roman"/>
          <w:kern w:val="0"/>
        </w:rPr>
        <w:t>This monitoring thus far includes</w:t>
      </w:r>
      <w:r w:rsidR="009A4E09">
        <w:rPr>
          <w:rFonts w:ascii="Times New Roman" w:hAnsi="Times New Roman" w:cs="Times New Roman"/>
          <w:kern w:val="0"/>
        </w:rPr>
        <w:t xml:space="preserve"> UV-vis, fluorescence, thermal imaging, Raman and small angle neutron scattering</w:t>
      </w:r>
      <w:r w:rsidR="00A37E67">
        <w:rPr>
          <w:rFonts w:ascii="Times New Roman" w:hAnsi="Times New Roman" w:cs="Times New Roman"/>
          <w:kern w:val="0"/>
        </w:rPr>
        <w:t xml:space="preserve"> (SANS)</w:t>
      </w:r>
      <w:r w:rsidR="009A4E09">
        <w:rPr>
          <w:rFonts w:ascii="Times New Roman" w:hAnsi="Times New Roman" w:cs="Times New Roman"/>
          <w:kern w:val="0"/>
        </w:rPr>
        <w:t xml:space="preserve">. An example here is the formation of liposomes of phospholipids, </w:t>
      </w:r>
      <w:r w:rsidR="00A37E67">
        <w:rPr>
          <w:rFonts w:ascii="Times New Roman" w:hAnsi="Times New Roman" w:cs="Times New Roman"/>
          <w:kern w:val="0"/>
        </w:rPr>
        <w:t xml:space="preserve">studied using real time SANS, </w:t>
      </w:r>
      <w:r w:rsidR="009A4E09">
        <w:rPr>
          <w:rFonts w:ascii="Times New Roman" w:hAnsi="Times New Roman" w:cs="Times New Roman"/>
          <w:kern w:val="0"/>
        </w:rPr>
        <w:t xml:space="preserve">with solutions passing through the VFD above the critical concentrating (milky solution) affording liposomes ca 100 nm in diameter, as now </w:t>
      </w:r>
      <w:r w:rsidR="00A37E67">
        <w:rPr>
          <w:rFonts w:ascii="Times New Roman" w:hAnsi="Times New Roman" w:cs="Times New Roman"/>
          <w:kern w:val="0"/>
        </w:rPr>
        <w:t xml:space="preserve">a </w:t>
      </w:r>
      <w:r w:rsidR="009A4E09">
        <w:rPr>
          <w:rFonts w:ascii="Times New Roman" w:hAnsi="Times New Roman" w:cs="Times New Roman"/>
          <w:kern w:val="0"/>
        </w:rPr>
        <w:t>clear solu</w:t>
      </w:r>
      <w:r w:rsidR="00A37E67">
        <w:rPr>
          <w:rFonts w:ascii="Times New Roman" w:hAnsi="Times New Roman" w:cs="Times New Roman"/>
          <w:kern w:val="0"/>
        </w:rPr>
        <w:t>tion</w:t>
      </w:r>
      <w:r w:rsidR="009A4E09">
        <w:rPr>
          <w:rFonts w:ascii="Times New Roman" w:hAnsi="Times New Roman" w:cs="Times New Roman"/>
          <w:kern w:val="0"/>
        </w:rPr>
        <w:t>, with the ability to directly load small molecules</w:t>
      </w:r>
      <w:r w:rsidR="001D1755" w:rsidRPr="00333486">
        <w:rPr>
          <w:rFonts w:ascii="Times New Roman" w:hAnsi="Times New Roman" w:cs="Times New Roman"/>
          <w:kern w:val="0"/>
        </w:rPr>
        <w:t xml:space="preserve">. </w:t>
      </w:r>
    </w:p>
    <w:p w14:paraId="259E0E60" w14:textId="6EBB8379" w:rsidR="006D15F7" w:rsidRDefault="00333486" w:rsidP="001D1755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hAnsi="Times" w:cs="Times"/>
          <w:kern w:val="0"/>
          <w:sz w:val="26"/>
          <w:szCs w:val="26"/>
        </w:rPr>
      </w:pPr>
      <w:r w:rsidRPr="00333486">
        <w:rPr>
          <w:rFonts w:ascii="Times New Roman" w:hAnsi="Times New Roman" w:cs="Times New Roman"/>
          <w:noProof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00F33" wp14:editId="61B8E785">
                <wp:simplePos x="0" y="0"/>
                <wp:positionH relativeFrom="column">
                  <wp:posOffset>130810</wp:posOffset>
                </wp:positionH>
                <wp:positionV relativeFrom="paragraph">
                  <wp:posOffset>1270</wp:posOffset>
                </wp:positionV>
                <wp:extent cx="5831840" cy="2286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8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CF3AC" w14:textId="4B6E42B9" w:rsidR="00613F7C" w:rsidRDefault="00AB1A76" w:rsidP="00B562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0028F5E" wp14:editId="1E235E03">
                                  <wp:extent cx="2980055" cy="21945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anomaterials.pd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0055" cy="2194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00F3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0.3pt;margin-top:.1pt;width:459.2pt;height:1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" filled="f" stroked="f">
                <v:textbox>
                  <w:txbxContent>
                    <w:p w14:paraId="5FACF3AC" w14:textId="4B6E42B9" w:rsidR="00613F7C" w:rsidRDefault="00AB1A76" w:rsidP="00B56242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0028F5E" wp14:editId="1E235E03">
                            <wp:extent cx="2980055" cy="21945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anomaterials.pd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0055" cy="2194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9A4A06" w14:textId="12C4F7AB" w:rsidR="006D15F7" w:rsidRDefault="006D15F7" w:rsidP="001D1755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hAnsi="Times" w:cs="Times"/>
          <w:kern w:val="0"/>
          <w:sz w:val="26"/>
          <w:szCs w:val="26"/>
          <w:lang w:val="en-AU"/>
        </w:rPr>
      </w:pPr>
    </w:p>
    <w:p w14:paraId="22430531" w14:textId="77777777" w:rsidR="00613F7C" w:rsidRDefault="00613F7C" w:rsidP="006D15F7">
      <w:pPr>
        <w:widowControl/>
        <w:jc w:val="left"/>
        <w:rPr>
          <w:rFonts w:ascii="Calibri" w:eastAsia="Times New Roman" w:hAnsi="Calibri" w:cs="Times New Roman"/>
          <w:b/>
          <w:kern w:val="0"/>
          <w:lang w:val="en-AU"/>
        </w:rPr>
      </w:pPr>
    </w:p>
    <w:p w14:paraId="002AED4A" w14:textId="77777777" w:rsidR="00613F7C" w:rsidRDefault="00613F7C" w:rsidP="006D15F7">
      <w:pPr>
        <w:widowControl/>
        <w:jc w:val="left"/>
        <w:rPr>
          <w:rFonts w:ascii="Calibri" w:eastAsia="Times New Roman" w:hAnsi="Calibri" w:cs="Times New Roman"/>
          <w:b/>
          <w:kern w:val="0"/>
          <w:lang w:val="en-AU"/>
        </w:rPr>
      </w:pPr>
    </w:p>
    <w:p w14:paraId="09DDE41D" w14:textId="77777777" w:rsidR="00613F7C" w:rsidRDefault="00613F7C" w:rsidP="006D15F7">
      <w:pPr>
        <w:widowControl/>
        <w:jc w:val="left"/>
        <w:rPr>
          <w:rFonts w:ascii="Calibri" w:eastAsia="Times New Roman" w:hAnsi="Calibri" w:cs="Times New Roman"/>
          <w:b/>
          <w:kern w:val="0"/>
          <w:lang w:val="en-AU"/>
        </w:rPr>
      </w:pPr>
    </w:p>
    <w:p w14:paraId="2084D0CE" w14:textId="77777777" w:rsidR="00613F7C" w:rsidRDefault="00613F7C" w:rsidP="006D15F7">
      <w:pPr>
        <w:widowControl/>
        <w:jc w:val="left"/>
        <w:rPr>
          <w:rFonts w:ascii="Calibri" w:eastAsia="Times New Roman" w:hAnsi="Calibri" w:cs="Times New Roman"/>
          <w:b/>
          <w:kern w:val="0"/>
          <w:lang w:val="en-AU"/>
        </w:rPr>
      </w:pPr>
    </w:p>
    <w:p w14:paraId="224B2D65" w14:textId="77777777" w:rsidR="00613F7C" w:rsidRDefault="00613F7C" w:rsidP="006D15F7">
      <w:pPr>
        <w:widowControl/>
        <w:jc w:val="left"/>
        <w:rPr>
          <w:rFonts w:ascii="Calibri" w:eastAsia="Times New Roman" w:hAnsi="Calibri" w:cs="Times New Roman"/>
          <w:b/>
          <w:kern w:val="0"/>
          <w:lang w:val="en-AU"/>
        </w:rPr>
      </w:pPr>
    </w:p>
    <w:p w14:paraId="3919399F" w14:textId="77777777" w:rsidR="00613F7C" w:rsidRDefault="00613F7C" w:rsidP="006D15F7">
      <w:pPr>
        <w:widowControl/>
        <w:jc w:val="left"/>
        <w:rPr>
          <w:rFonts w:ascii="Calibri" w:eastAsia="Times New Roman" w:hAnsi="Calibri" w:cs="Times New Roman"/>
          <w:b/>
          <w:kern w:val="0"/>
          <w:lang w:val="en-AU"/>
        </w:rPr>
      </w:pPr>
    </w:p>
    <w:p w14:paraId="17C45441" w14:textId="77777777" w:rsidR="00613F7C" w:rsidRDefault="00613F7C" w:rsidP="006D15F7">
      <w:pPr>
        <w:widowControl/>
        <w:jc w:val="left"/>
        <w:rPr>
          <w:rFonts w:ascii="Calibri" w:eastAsia="Times New Roman" w:hAnsi="Calibri" w:cs="Times New Roman"/>
          <w:b/>
          <w:kern w:val="0"/>
          <w:lang w:val="en-AU"/>
        </w:rPr>
      </w:pPr>
    </w:p>
    <w:p w14:paraId="61E10858" w14:textId="77777777" w:rsidR="00613F7C" w:rsidRPr="00572178" w:rsidRDefault="00613F7C" w:rsidP="006D15F7">
      <w:pPr>
        <w:widowControl/>
        <w:jc w:val="left"/>
        <w:rPr>
          <w:rFonts w:ascii="Calibri" w:eastAsia="Times New Roman" w:hAnsi="Calibri" w:cs="Times New Roman"/>
          <w:b/>
          <w:kern w:val="0"/>
          <w:sz w:val="20"/>
          <w:szCs w:val="20"/>
          <w:lang w:val="en-AU"/>
        </w:rPr>
      </w:pPr>
    </w:p>
    <w:p w14:paraId="484044D5" w14:textId="7CC20315" w:rsidR="00613F7C" w:rsidRPr="00572178" w:rsidRDefault="00572178" w:rsidP="00572178">
      <w:pPr>
        <w:widowControl/>
        <w:ind w:left="2410" w:right="2459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val="en-AU"/>
        </w:rPr>
      </w:pPr>
      <w:r w:rsidRPr="00572178">
        <w:rPr>
          <w:rFonts w:ascii="Times New Roman" w:eastAsia="Times New Roman" w:hAnsi="Times New Roman" w:cs="Times New Roman"/>
          <w:kern w:val="0"/>
          <w:sz w:val="20"/>
          <w:szCs w:val="20"/>
          <w:lang w:val="en-AU"/>
        </w:rPr>
        <w:t>Figure 1. Schematic of the vortex fluidic device (VFD) and some different shapes that can be generated, depending on the material, at the sub-micron dimensions.</w:t>
      </w:r>
    </w:p>
    <w:p w14:paraId="39FD491F" w14:textId="77777777" w:rsidR="00572178" w:rsidRPr="00572178" w:rsidRDefault="00572178" w:rsidP="006D15F7">
      <w:pPr>
        <w:widowControl/>
        <w:jc w:val="left"/>
        <w:rPr>
          <w:rFonts w:ascii="Times New Roman" w:eastAsia="Times New Roman" w:hAnsi="Times New Roman" w:cs="Times New Roman"/>
          <w:kern w:val="0"/>
          <w:lang w:val="en-AU"/>
        </w:rPr>
      </w:pPr>
    </w:p>
    <w:p w14:paraId="5F933343" w14:textId="602C0DC9" w:rsidR="009A4E09" w:rsidRDefault="009A4E09" w:rsidP="00572178">
      <w:pPr>
        <w:pStyle w:val="p1"/>
        <w:spacing w:line="276" w:lineRule="auto"/>
        <w:ind w:left="709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572178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Y</w:t>
      </w:r>
      <w:r w:rsidR="00333486" w:rsidRPr="00B964AA">
        <w:rPr>
          <w:rFonts w:ascii="Times New Roman" w:hAnsi="Times New Roman"/>
          <w:color w:val="000000"/>
          <w:sz w:val="20"/>
          <w:szCs w:val="20"/>
        </w:rPr>
        <w:t xml:space="preserve">asmin, L.; Chen, X.; Stubbs, K. A.; Raston, C. L. </w:t>
      </w:r>
      <w:r w:rsidR="00333486" w:rsidRPr="00B964AA">
        <w:rPr>
          <w:rFonts w:ascii="Times New Roman" w:hAnsi="Times New Roman"/>
          <w:i/>
          <w:color w:val="000000"/>
          <w:sz w:val="20"/>
          <w:szCs w:val="20"/>
        </w:rPr>
        <w:t>Scientific Reports</w:t>
      </w:r>
      <w:r w:rsidR="00333486" w:rsidRPr="00B964A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33486" w:rsidRPr="00B964AA">
        <w:rPr>
          <w:rFonts w:ascii="Times New Roman" w:hAnsi="Times New Roman"/>
          <w:b/>
          <w:color w:val="000000"/>
          <w:sz w:val="20"/>
          <w:szCs w:val="20"/>
        </w:rPr>
        <w:t>2013</w:t>
      </w:r>
      <w:r w:rsidR="00333486" w:rsidRPr="00B964A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33486" w:rsidRPr="00B964AA">
        <w:rPr>
          <w:rFonts w:ascii="Times New Roman" w:hAnsi="Times New Roman"/>
          <w:i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, 2282.</w:t>
      </w:r>
    </w:p>
    <w:p w14:paraId="63F2B8B1" w14:textId="1519D05B" w:rsidR="00333486" w:rsidRPr="009A4E09" w:rsidRDefault="009A4E09" w:rsidP="00572178">
      <w:pPr>
        <w:pStyle w:val="p1"/>
        <w:spacing w:line="276" w:lineRule="auto"/>
        <w:ind w:left="709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572178">
        <w:rPr>
          <w:rFonts w:ascii="Times New Roman" w:hAnsi="Times New Roman"/>
          <w:color w:val="000000"/>
          <w:sz w:val="20"/>
          <w:szCs w:val="20"/>
        </w:rPr>
        <w:tab/>
      </w:r>
      <w:r w:rsidR="00333486" w:rsidRPr="00B964AA">
        <w:rPr>
          <w:rFonts w:ascii="Times New Roman" w:hAnsi="Times New Roman"/>
          <w:color w:val="333333"/>
          <w:sz w:val="20"/>
          <w:szCs w:val="20"/>
        </w:rPr>
        <w:t xml:space="preserve">Britton J., </w:t>
      </w:r>
      <w:r w:rsidR="00333486" w:rsidRPr="00B964AA">
        <w:rPr>
          <w:rFonts w:ascii="Times New Roman" w:hAnsi="Times New Roman"/>
          <w:color w:val="333333"/>
          <w:sz w:val="20"/>
          <w:szCs w:val="20"/>
          <w:lang w:val="en-US"/>
        </w:rPr>
        <w:t xml:space="preserve">Stubbs K., Weiss G., Raston C., </w:t>
      </w:r>
      <w:r w:rsidR="00333486" w:rsidRPr="00B964AA">
        <w:rPr>
          <w:rFonts w:ascii="Times New Roman" w:hAnsi="Times New Roman"/>
          <w:i/>
          <w:color w:val="333333"/>
          <w:sz w:val="20"/>
          <w:szCs w:val="20"/>
          <w:lang w:val="en-US"/>
        </w:rPr>
        <w:t>Chem Eur J</w:t>
      </w:r>
      <w:r w:rsidR="00333486" w:rsidRPr="00B964AA">
        <w:rPr>
          <w:rFonts w:ascii="Times New Roman" w:hAnsi="Times New Roman"/>
          <w:color w:val="333333"/>
          <w:sz w:val="20"/>
          <w:szCs w:val="20"/>
          <w:lang w:val="en-US"/>
        </w:rPr>
        <w:t xml:space="preserve">, </w:t>
      </w:r>
      <w:r w:rsidR="00333486" w:rsidRPr="00B964AA">
        <w:rPr>
          <w:rFonts w:ascii="Times New Roman" w:hAnsi="Times New Roman"/>
          <w:b/>
          <w:color w:val="333333"/>
          <w:sz w:val="20"/>
          <w:szCs w:val="20"/>
          <w:lang w:val="en-US"/>
        </w:rPr>
        <w:t>2017</w:t>
      </w:r>
      <w:r w:rsidR="00333486" w:rsidRPr="00B964AA">
        <w:rPr>
          <w:rFonts w:ascii="Times New Roman" w:hAnsi="Times New Roman"/>
          <w:sz w:val="20"/>
          <w:szCs w:val="20"/>
        </w:rPr>
        <w:t>, 23, 13270 – 13278</w:t>
      </w:r>
      <w:r>
        <w:rPr>
          <w:rFonts w:ascii="Times New Roman" w:hAnsi="Times New Roman"/>
          <w:sz w:val="20"/>
          <w:szCs w:val="20"/>
        </w:rPr>
        <w:t>.</w:t>
      </w:r>
    </w:p>
    <w:p w14:paraId="0281040A" w14:textId="1A5B01F6" w:rsidR="009A4E09" w:rsidRDefault="009A4E09" w:rsidP="00572178">
      <w:pPr>
        <w:pStyle w:val="p1"/>
        <w:spacing w:line="276" w:lineRule="auto"/>
        <w:ind w:left="709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572178">
        <w:rPr>
          <w:rFonts w:ascii="Times New Roman" w:hAnsi="Times New Roman"/>
          <w:sz w:val="20"/>
          <w:szCs w:val="20"/>
        </w:rPr>
        <w:tab/>
      </w:r>
      <w:r w:rsidR="00333486" w:rsidRPr="00B964AA">
        <w:rPr>
          <w:rFonts w:ascii="Times New Roman" w:hAnsi="Times New Roman"/>
          <w:sz w:val="20"/>
          <w:szCs w:val="20"/>
        </w:rPr>
        <w:t xml:space="preserve">K. Vimalanathan et al., </w:t>
      </w:r>
      <w:r w:rsidR="00333486" w:rsidRPr="00B964AA">
        <w:rPr>
          <w:rFonts w:ascii="Times New Roman" w:hAnsi="Times New Roman"/>
          <w:i/>
          <w:sz w:val="20"/>
          <w:szCs w:val="20"/>
        </w:rPr>
        <w:t>Angew. Chem. Int. Ed.</w:t>
      </w:r>
      <w:r w:rsidR="00333486" w:rsidRPr="00B964AA">
        <w:rPr>
          <w:rFonts w:ascii="Times New Roman" w:hAnsi="Times New Roman"/>
          <w:sz w:val="20"/>
          <w:szCs w:val="20"/>
        </w:rPr>
        <w:t xml:space="preserve"> </w:t>
      </w:r>
      <w:r w:rsidR="00333486" w:rsidRPr="00B964AA">
        <w:rPr>
          <w:rFonts w:ascii="Times New Roman" w:hAnsi="Times New Roman"/>
          <w:b/>
          <w:sz w:val="20"/>
          <w:szCs w:val="20"/>
        </w:rPr>
        <w:t>2017</w:t>
      </w:r>
      <w:r w:rsidR="00333486" w:rsidRPr="00B964AA">
        <w:rPr>
          <w:rFonts w:ascii="Times New Roman" w:hAnsi="Times New Roman"/>
          <w:sz w:val="20"/>
          <w:szCs w:val="20"/>
        </w:rPr>
        <w:t xml:space="preserve">, </w:t>
      </w:r>
      <w:r w:rsidR="00333486" w:rsidRPr="00B964AA">
        <w:rPr>
          <w:rFonts w:ascii="Times New Roman" w:hAnsi="Times New Roman"/>
          <w:i/>
          <w:sz w:val="20"/>
          <w:szCs w:val="20"/>
        </w:rPr>
        <w:t>56</w:t>
      </w:r>
      <w:r w:rsidR="00333486" w:rsidRPr="00B964AA">
        <w:rPr>
          <w:rFonts w:ascii="Times New Roman" w:hAnsi="Times New Roman"/>
          <w:sz w:val="20"/>
          <w:szCs w:val="20"/>
        </w:rPr>
        <w:t>,</w:t>
      </w:r>
      <w:r w:rsidR="00333486" w:rsidRPr="00B964AA">
        <w:rPr>
          <w:rStyle w:val="apple-converted-space"/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8398-8401</w:t>
      </w:r>
    </w:p>
    <w:p w14:paraId="67C1E03C" w14:textId="3066F81C" w:rsidR="00333486" w:rsidRPr="00B964AA" w:rsidRDefault="009A4E09" w:rsidP="00572178">
      <w:pPr>
        <w:pStyle w:val="p1"/>
        <w:spacing w:line="276" w:lineRule="auto"/>
        <w:ind w:left="709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572178">
        <w:rPr>
          <w:rFonts w:ascii="Times New Roman" w:hAnsi="Times New Roman"/>
          <w:sz w:val="20"/>
          <w:szCs w:val="20"/>
        </w:rPr>
        <w:tab/>
      </w:r>
      <w:r w:rsidR="00333486" w:rsidRPr="00B964AA">
        <w:rPr>
          <w:rFonts w:ascii="Times New Roman" w:hAnsi="Times New Roman"/>
          <w:sz w:val="20"/>
          <w:szCs w:val="20"/>
        </w:rPr>
        <w:t xml:space="preserve">Alsulami, </w:t>
      </w:r>
      <w:r w:rsidR="00333486">
        <w:rPr>
          <w:rFonts w:ascii="Times New Roman" w:hAnsi="Times New Roman"/>
          <w:sz w:val="20"/>
          <w:szCs w:val="20"/>
        </w:rPr>
        <w:t>I. K.</w:t>
      </w:r>
      <w:r w:rsidR="00333486" w:rsidRPr="00B964AA">
        <w:rPr>
          <w:rFonts w:ascii="Times New Roman" w:hAnsi="Times New Roman"/>
          <w:sz w:val="20"/>
          <w:szCs w:val="20"/>
        </w:rPr>
        <w:t xml:space="preserve">, </w:t>
      </w:r>
      <w:r w:rsidR="00333486" w:rsidRPr="00B964AA">
        <w:rPr>
          <w:rFonts w:ascii="Times New Roman" w:hAnsi="Times New Roman"/>
          <w:i/>
          <w:sz w:val="20"/>
          <w:szCs w:val="20"/>
        </w:rPr>
        <w:t>Chem. Commun</w:t>
      </w:r>
      <w:r w:rsidR="00333486" w:rsidRPr="00B964AA">
        <w:rPr>
          <w:rFonts w:ascii="Times New Roman" w:hAnsi="Times New Roman"/>
          <w:sz w:val="20"/>
          <w:szCs w:val="20"/>
        </w:rPr>
        <w:t xml:space="preserve">., </w:t>
      </w:r>
      <w:r w:rsidR="00333486" w:rsidRPr="00B964AA">
        <w:rPr>
          <w:rFonts w:ascii="Times New Roman" w:hAnsi="Times New Roman"/>
          <w:b/>
          <w:sz w:val="20"/>
          <w:szCs w:val="20"/>
        </w:rPr>
        <w:t>2018</w:t>
      </w:r>
      <w:r w:rsidR="00333486">
        <w:rPr>
          <w:rFonts w:ascii="Times New Roman" w:hAnsi="Times New Roman"/>
          <w:sz w:val="20"/>
          <w:szCs w:val="20"/>
        </w:rPr>
        <w:t xml:space="preserve">, </w:t>
      </w:r>
      <w:r w:rsidR="00333486" w:rsidRPr="00B964AA">
        <w:rPr>
          <w:rFonts w:ascii="Times New Roman" w:hAnsi="Times New Roman"/>
          <w:i/>
          <w:sz w:val="20"/>
          <w:szCs w:val="20"/>
        </w:rPr>
        <w:t>54</w:t>
      </w:r>
      <w:r w:rsidR="00333486" w:rsidRPr="00B964AA">
        <w:rPr>
          <w:rFonts w:ascii="Times New Roman" w:hAnsi="Times New Roman"/>
          <w:sz w:val="20"/>
          <w:szCs w:val="20"/>
        </w:rPr>
        <w:t>, 7896-7899.</w:t>
      </w:r>
    </w:p>
    <w:p w14:paraId="6AD64B87" w14:textId="6F528C6D" w:rsidR="00333486" w:rsidRPr="00572178" w:rsidRDefault="009A4E09" w:rsidP="00572178">
      <w:pPr>
        <w:spacing w:line="276" w:lineRule="auto"/>
        <w:ind w:left="709" w:hanging="5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="00572178">
        <w:rPr>
          <w:rFonts w:ascii="Times New Roman" w:eastAsia="Times New Roman" w:hAnsi="Times New Roman" w:cs="Times New Roman"/>
          <w:sz w:val="20"/>
          <w:szCs w:val="20"/>
        </w:rPr>
        <w:tab/>
      </w:r>
      <w:r w:rsidR="00333486" w:rsidRPr="00B964AA">
        <w:rPr>
          <w:rFonts w:ascii="Times New Roman" w:eastAsia="Times New Roman" w:hAnsi="Times New Roman" w:cs="Times New Roman"/>
          <w:sz w:val="20"/>
          <w:szCs w:val="20"/>
        </w:rPr>
        <w:t>Luo</w:t>
      </w:r>
      <w:r w:rsidR="00333486">
        <w:rPr>
          <w:rFonts w:ascii="Times New Roman" w:eastAsia="Times New Roman" w:hAnsi="Times New Roman" w:cs="Times New Roman"/>
          <w:sz w:val="20"/>
          <w:szCs w:val="20"/>
        </w:rPr>
        <w:t>, X. et al.</w:t>
      </w:r>
      <w:r w:rsidR="00333486" w:rsidRPr="00B964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33486" w:rsidRPr="00B964AA">
        <w:rPr>
          <w:rFonts w:ascii="Times New Roman" w:eastAsia="Times New Roman" w:hAnsi="Times New Roman" w:cs="Times New Roman"/>
          <w:i/>
          <w:sz w:val="20"/>
          <w:szCs w:val="20"/>
        </w:rPr>
        <w:t>Reaction Chemistry &amp; Engineering</w:t>
      </w:r>
      <w:r w:rsidR="00333486" w:rsidRPr="00B964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33486" w:rsidRPr="00B964AA">
        <w:rPr>
          <w:rFonts w:ascii="Times New Roman" w:eastAsia="Times New Roman" w:hAnsi="Times New Roman" w:cs="Times New Roman"/>
          <w:b/>
          <w:sz w:val="20"/>
          <w:szCs w:val="20"/>
        </w:rPr>
        <w:t>2018</w:t>
      </w:r>
      <w:r w:rsidR="003334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33486" w:rsidRPr="00B964AA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="00333486" w:rsidRPr="00B964AA">
        <w:rPr>
          <w:rFonts w:ascii="Times New Roman" w:eastAsia="Times New Roman" w:hAnsi="Times New Roman" w:cs="Times New Roman"/>
          <w:sz w:val="20"/>
          <w:szCs w:val="20"/>
        </w:rPr>
        <w:t>, 164.</w:t>
      </w:r>
    </w:p>
    <w:sectPr w:rsidR="00333486" w:rsidRPr="00572178" w:rsidSect="00C3219E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13E7C"/>
    <w:multiLevelType w:val="hybridMultilevel"/>
    <w:tmpl w:val="EF7887D4"/>
    <w:lvl w:ilvl="0" w:tplc="6B46ECBC">
      <w:start w:val="1"/>
      <w:numFmt w:val="decimal"/>
      <w:pStyle w:val="TFReferencesSection"/>
      <w:lvlText w:val="%1."/>
      <w:lvlJc w:val="left"/>
      <w:pPr>
        <w:ind w:left="48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161" w:hanging="360"/>
      </w:pPr>
    </w:lvl>
    <w:lvl w:ilvl="2" w:tplc="0C09001B" w:tentative="1">
      <w:start w:val="1"/>
      <w:numFmt w:val="lowerRoman"/>
      <w:lvlText w:val="%3."/>
      <w:lvlJc w:val="right"/>
      <w:pPr>
        <w:ind w:left="6881" w:hanging="180"/>
      </w:pPr>
    </w:lvl>
    <w:lvl w:ilvl="3" w:tplc="0C09000F" w:tentative="1">
      <w:start w:val="1"/>
      <w:numFmt w:val="decimal"/>
      <w:lvlText w:val="%4."/>
      <w:lvlJc w:val="left"/>
      <w:pPr>
        <w:ind w:left="7601" w:hanging="360"/>
      </w:pPr>
    </w:lvl>
    <w:lvl w:ilvl="4" w:tplc="0C090019" w:tentative="1">
      <w:start w:val="1"/>
      <w:numFmt w:val="lowerLetter"/>
      <w:lvlText w:val="%5."/>
      <w:lvlJc w:val="left"/>
      <w:pPr>
        <w:ind w:left="8321" w:hanging="360"/>
      </w:pPr>
    </w:lvl>
    <w:lvl w:ilvl="5" w:tplc="0C09001B" w:tentative="1">
      <w:start w:val="1"/>
      <w:numFmt w:val="lowerRoman"/>
      <w:lvlText w:val="%6."/>
      <w:lvlJc w:val="right"/>
      <w:pPr>
        <w:ind w:left="9041" w:hanging="180"/>
      </w:pPr>
    </w:lvl>
    <w:lvl w:ilvl="6" w:tplc="0C09000F" w:tentative="1">
      <w:start w:val="1"/>
      <w:numFmt w:val="decimal"/>
      <w:lvlText w:val="%7."/>
      <w:lvlJc w:val="left"/>
      <w:pPr>
        <w:ind w:left="9761" w:hanging="360"/>
      </w:pPr>
    </w:lvl>
    <w:lvl w:ilvl="7" w:tplc="0C090019" w:tentative="1">
      <w:start w:val="1"/>
      <w:numFmt w:val="lowerLetter"/>
      <w:lvlText w:val="%8."/>
      <w:lvlJc w:val="left"/>
      <w:pPr>
        <w:ind w:left="10481" w:hanging="360"/>
      </w:pPr>
    </w:lvl>
    <w:lvl w:ilvl="8" w:tplc="0C09001B" w:tentative="1">
      <w:start w:val="1"/>
      <w:numFmt w:val="lowerRoman"/>
      <w:lvlText w:val="%9."/>
      <w:lvlJc w:val="right"/>
      <w:pPr>
        <w:ind w:left="112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55"/>
    <w:rsid w:val="00064B57"/>
    <w:rsid w:val="000D0E40"/>
    <w:rsid w:val="000D1886"/>
    <w:rsid w:val="00120D49"/>
    <w:rsid w:val="00135377"/>
    <w:rsid w:val="0016636F"/>
    <w:rsid w:val="001817DF"/>
    <w:rsid w:val="001D1755"/>
    <w:rsid w:val="00221D58"/>
    <w:rsid w:val="002324D6"/>
    <w:rsid w:val="00250EAE"/>
    <w:rsid w:val="00262E84"/>
    <w:rsid w:val="00263A0D"/>
    <w:rsid w:val="002708CF"/>
    <w:rsid w:val="00280510"/>
    <w:rsid w:val="002C733A"/>
    <w:rsid w:val="00333486"/>
    <w:rsid w:val="00355058"/>
    <w:rsid w:val="00364E67"/>
    <w:rsid w:val="003D36BE"/>
    <w:rsid w:val="003D5EE3"/>
    <w:rsid w:val="00412DF8"/>
    <w:rsid w:val="00444E32"/>
    <w:rsid w:val="004D4165"/>
    <w:rsid w:val="00504CDB"/>
    <w:rsid w:val="0056075E"/>
    <w:rsid w:val="0056588F"/>
    <w:rsid w:val="00572178"/>
    <w:rsid w:val="005726BA"/>
    <w:rsid w:val="005A6DC2"/>
    <w:rsid w:val="005B0B9F"/>
    <w:rsid w:val="005F1E9D"/>
    <w:rsid w:val="00613F7C"/>
    <w:rsid w:val="00624CDE"/>
    <w:rsid w:val="00644088"/>
    <w:rsid w:val="00677334"/>
    <w:rsid w:val="00681F99"/>
    <w:rsid w:val="006D0F36"/>
    <w:rsid w:val="006D15F7"/>
    <w:rsid w:val="006E7424"/>
    <w:rsid w:val="0072517A"/>
    <w:rsid w:val="00771E22"/>
    <w:rsid w:val="007C5CA0"/>
    <w:rsid w:val="007D5C24"/>
    <w:rsid w:val="0081788A"/>
    <w:rsid w:val="008279E1"/>
    <w:rsid w:val="00887151"/>
    <w:rsid w:val="008A0568"/>
    <w:rsid w:val="008A384A"/>
    <w:rsid w:val="008E660C"/>
    <w:rsid w:val="0095742A"/>
    <w:rsid w:val="009A4E09"/>
    <w:rsid w:val="00A06E11"/>
    <w:rsid w:val="00A16E2D"/>
    <w:rsid w:val="00A32828"/>
    <w:rsid w:val="00A37E67"/>
    <w:rsid w:val="00A71378"/>
    <w:rsid w:val="00A753F7"/>
    <w:rsid w:val="00A7709E"/>
    <w:rsid w:val="00A8769E"/>
    <w:rsid w:val="00A91A80"/>
    <w:rsid w:val="00AB1A76"/>
    <w:rsid w:val="00AE7F50"/>
    <w:rsid w:val="00AF7121"/>
    <w:rsid w:val="00B271DF"/>
    <w:rsid w:val="00B56242"/>
    <w:rsid w:val="00B67209"/>
    <w:rsid w:val="00B76715"/>
    <w:rsid w:val="00BC197E"/>
    <w:rsid w:val="00BE0BC6"/>
    <w:rsid w:val="00C3219E"/>
    <w:rsid w:val="00C9556B"/>
    <w:rsid w:val="00CD47E9"/>
    <w:rsid w:val="00CF7BAA"/>
    <w:rsid w:val="00D14373"/>
    <w:rsid w:val="00D22C1B"/>
    <w:rsid w:val="00D451D7"/>
    <w:rsid w:val="00D978A0"/>
    <w:rsid w:val="00DA3C8A"/>
    <w:rsid w:val="00DB6241"/>
    <w:rsid w:val="00DD13EC"/>
    <w:rsid w:val="00E8342C"/>
    <w:rsid w:val="00EA0385"/>
    <w:rsid w:val="00F53121"/>
    <w:rsid w:val="00F86F19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EB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lmstring-name">
    <w:name w:val="nlm_string-name"/>
    <w:basedOn w:val="DefaultParagraphFont"/>
    <w:rsid w:val="006D15F7"/>
  </w:style>
  <w:style w:type="character" w:styleId="HTMLCite">
    <w:name w:val="HTML Cite"/>
    <w:basedOn w:val="DefaultParagraphFont"/>
    <w:uiPriority w:val="99"/>
    <w:semiHidden/>
    <w:unhideWhenUsed/>
    <w:rsid w:val="006D15F7"/>
    <w:rPr>
      <w:i/>
      <w:iCs/>
    </w:rPr>
  </w:style>
  <w:style w:type="character" w:styleId="Strong">
    <w:name w:val="Strong"/>
    <w:basedOn w:val="DefaultParagraphFont"/>
    <w:uiPriority w:val="22"/>
    <w:qFormat/>
    <w:rsid w:val="006D15F7"/>
    <w:rPr>
      <w:b/>
      <w:bCs/>
    </w:rPr>
  </w:style>
  <w:style w:type="character" w:styleId="Emphasis">
    <w:name w:val="Emphasis"/>
    <w:basedOn w:val="DefaultParagraphFont"/>
    <w:uiPriority w:val="20"/>
    <w:qFormat/>
    <w:rsid w:val="006D15F7"/>
    <w:rPr>
      <w:i/>
      <w:iCs/>
    </w:rPr>
  </w:style>
  <w:style w:type="paragraph" w:customStyle="1" w:styleId="TFReferencesSection">
    <w:name w:val="TF_References_Section"/>
    <w:basedOn w:val="Normal"/>
    <w:next w:val="Normal"/>
    <w:autoRedefine/>
    <w:rsid w:val="00333486"/>
    <w:pPr>
      <w:widowControl/>
      <w:numPr>
        <w:numId w:val="1"/>
      </w:numPr>
      <w:spacing w:line="360" w:lineRule="auto"/>
      <w:ind w:left="284" w:hanging="284"/>
    </w:pPr>
    <w:rPr>
      <w:rFonts w:ascii="Times New Roman" w:eastAsia="Times New Roman" w:hAnsi="Times New Roman" w:cs="Times New Roman"/>
      <w:color w:val="FF0000"/>
      <w:kern w:val="19"/>
      <w:lang w:eastAsia="en-US"/>
    </w:rPr>
  </w:style>
  <w:style w:type="paragraph" w:customStyle="1" w:styleId="p1">
    <w:name w:val="p1"/>
    <w:basedOn w:val="Normal"/>
    <w:rsid w:val="00333486"/>
    <w:pPr>
      <w:widowControl/>
      <w:jc w:val="left"/>
    </w:pPr>
    <w:rPr>
      <w:rFonts w:ascii="Helvetica" w:hAnsi="Helvetica" w:cs="Times New Roman"/>
      <w:kern w:val="0"/>
      <w:sz w:val="15"/>
      <w:szCs w:val="15"/>
      <w:lang w:val="en-GB" w:eastAsia="en-GB"/>
    </w:rPr>
  </w:style>
  <w:style w:type="character" w:customStyle="1" w:styleId="apple-converted-space">
    <w:name w:val="apple-converted-space"/>
    <w:basedOn w:val="DefaultParagraphFont"/>
    <w:rsid w:val="00333486"/>
  </w:style>
  <w:style w:type="paragraph" w:customStyle="1" w:styleId="Compact">
    <w:name w:val="Compact"/>
    <w:basedOn w:val="BodyText"/>
    <w:qFormat/>
    <w:rsid w:val="00333486"/>
    <w:pPr>
      <w:widowControl/>
      <w:spacing w:before="36" w:after="36"/>
      <w:jc w:val="left"/>
    </w:pPr>
    <w:rPr>
      <w:rFonts w:eastAsiaTheme="minorHAnsi"/>
      <w:kern w:val="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10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365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Colin Raston</cp:lastModifiedBy>
  <cp:revision>7</cp:revision>
  <dcterms:created xsi:type="dcterms:W3CDTF">2019-08-18T13:28:00Z</dcterms:created>
  <dcterms:modified xsi:type="dcterms:W3CDTF">2019-08-19T06:10:00Z</dcterms:modified>
</cp:coreProperties>
</file>