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A4" w:rsidRPr="0055706C" w:rsidRDefault="00A47989" w:rsidP="00447EA4">
      <w:pPr>
        <w:jc w:val="both"/>
        <w:rPr>
          <w:rFonts w:ascii="Calibri" w:hAnsi="Calibri" w:cs="Calibri"/>
          <w:b/>
          <w:sz w:val="20"/>
          <w:szCs w:val="20"/>
          <w:lang w:val="en-US"/>
        </w:rPr>
      </w:pPr>
      <w:r>
        <w:rPr>
          <w:rFonts w:ascii="Calibri" w:hAnsi="Calibri" w:cs="Calibri"/>
          <w:b/>
          <w:sz w:val="20"/>
          <w:szCs w:val="20"/>
          <w:lang w:val="en-US"/>
        </w:rPr>
        <w:t>Decoding biased signalling and inhibition at CXCR3 isoforms</w:t>
      </w:r>
    </w:p>
    <w:p w:rsidR="00C66D90" w:rsidRPr="0055706C" w:rsidRDefault="00447EA4" w:rsidP="00447EA4">
      <w:pPr>
        <w:jc w:val="both"/>
        <w:rPr>
          <w:rFonts w:ascii="Calibri" w:hAnsi="Calibri" w:cs="Calibri"/>
          <w:sz w:val="20"/>
          <w:szCs w:val="20"/>
          <w:vertAlign w:val="superscript"/>
          <w:lang w:val="en-US"/>
        </w:rPr>
      </w:pPr>
      <w:r w:rsidRPr="0055706C">
        <w:rPr>
          <w:rFonts w:ascii="Calibri" w:hAnsi="Calibri" w:cs="Calibri"/>
          <w:sz w:val="20"/>
          <w:szCs w:val="20"/>
          <w:u w:val="single"/>
          <w:lang w:val="en-US"/>
        </w:rPr>
        <w:t>Ania Beyger</w:t>
      </w:r>
      <w:r w:rsidRPr="0055706C">
        <w:rPr>
          <w:rFonts w:ascii="Calibri" w:hAnsi="Calibri" w:cs="Calibri"/>
          <w:sz w:val="20"/>
          <w:szCs w:val="20"/>
          <w:vertAlign w:val="superscript"/>
          <w:lang w:val="en-US"/>
        </w:rPr>
        <w:t>1</w:t>
      </w:r>
      <w:r w:rsidRPr="0055706C">
        <w:rPr>
          <w:rFonts w:ascii="Calibri" w:hAnsi="Calibri" w:cs="Calibri"/>
          <w:sz w:val="20"/>
          <w:szCs w:val="20"/>
          <w:lang w:val="en-US"/>
        </w:rPr>
        <w:t>, Natalie Diepenhorst</w:t>
      </w:r>
      <w:r w:rsidRPr="0055706C">
        <w:rPr>
          <w:rFonts w:ascii="Calibri" w:hAnsi="Calibri" w:cs="Calibri"/>
          <w:sz w:val="20"/>
          <w:szCs w:val="20"/>
          <w:vertAlign w:val="superscript"/>
          <w:lang w:val="en-US"/>
        </w:rPr>
        <w:t>1</w:t>
      </w:r>
      <w:r w:rsidRPr="0055706C">
        <w:rPr>
          <w:rFonts w:ascii="Calibri" w:hAnsi="Calibri" w:cs="Calibri"/>
          <w:sz w:val="20"/>
          <w:szCs w:val="20"/>
          <w:lang w:val="en-US"/>
        </w:rPr>
        <w:t>, Rocio de la Fuente Gonzalez</w:t>
      </w:r>
      <w:r w:rsidRPr="0055706C">
        <w:rPr>
          <w:rFonts w:ascii="Calibri" w:hAnsi="Calibri" w:cs="Calibri"/>
          <w:sz w:val="20"/>
          <w:szCs w:val="20"/>
          <w:vertAlign w:val="superscript"/>
          <w:lang w:val="en-US"/>
        </w:rPr>
        <w:t>1</w:t>
      </w:r>
      <w:r w:rsidRPr="0055706C">
        <w:rPr>
          <w:rFonts w:ascii="Calibri" w:hAnsi="Calibri" w:cs="Calibri"/>
          <w:sz w:val="20"/>
          <w:szCs w:val="20"/>
          <w:lang w:val="en-US"/>
        </w:rPr>
        <w:t>, Gregory Stewart, Christopher Langmead</w:t>
      </w:r>
      <w:r w:rsidRPr="0055706C">
        <w:rPr>
          <w:rFonts w:ascii="Calibri" w:hAnsi="Calibri" w:cs="Calibri"/>
          <w:sz w:val="20"/>
          <w:szCs w:val="20"/>
          <w:vertAlign w:val="superscript"/>
          <w:lang w:val="en-US"/>
        </w:rPr>
        <w:t>1</w:t>
      </w:r>
    </w:p>
    <w:p w:rsidR="00DD2399" w:rsidRPr="0055706C" w:rsidRDefault="00447EA4" w:rsidP="00447EA4">
      <w:pPr>
        <w:jc w:val="both"/>
        <w:rPr>
          <w:rFonts w:ascii="Calibri" w:hAnsi="Calibri" w:cs="Calibri"/>
          <w:sz w:val="20"/>
          <w:szCs w:val="20"/>
          <w:lang w:val="en-US"/>
        </w:rPr>
      </w:pPr>
      <w:r w:rsidRPr="0055706C">
        <w:rPr>
          <w:rFonts w:ascii="Calibri" w:hAnsi="Calibri" w:cs="Calibri"/>
          <w:sz w:val="20"/>
          <w:szCs w:val="20"/>
          <w:vertAlign w:val="superscript"/>
          <w:lang w:val="en-US"/>
        </w:rPr>
        <w:t>1</w:t>
      </w:r>
      <w:r w:rsidRPr="0055706C">
        <w:rPr>
          <w:rFonts w:ascii="Calibri" w:hAnsi="Calibri" w:cs="Calibri"/>
          <w:sz w:val="20"/>
          <w:szCs w:val="20"/>
          <w:lang w:val="en-US"/>
        </w:rPr>
        <w:t xml:space="preserve"> Monash University of Pharmaceutical Science (MIPS), Monash University, Parkville, VIC 3052, Australia </w:t>
      </w:r>
      <w:bookmarkStart w:id="0" w:name="_GoBack"/>
      <w:bookmarkEnd w:id="0"/>
    </w:p>
    <w:p w:rsidR="004110C7" w:rsidRPr="00355F46" w:rsidRDefault="0055706C" w:rsidP="005C38E3">
      <w:pPr>
        <w:spacing w:line="240" w:lineRule="auto"/>
        <w:jc w:val="both"/>
        <w:rPr>
          <w:rFonts w:ascii="Calibri" w:hAnsi="Calibri" w:cs="Calibri"/>
          <w:sz w:val="20"/>
          <w:szCs w:val="20"/>
        </w:rPr>
      </w:pPr>
      <w:r w:rsidRPr="0055706C">
        <w:rPr>
          <w:rFonts w:ascii="Calibri" w:hAnsi="Calibri" w:cs="Calibri"/>
          <w:b/>
          <w:bCs/>
          <w:sz w:val="20"/>
          <w:szCs w:val="20"/>
        </w:rPr>
        <w:t>Introduction</w:t>
      </w:r>
      <w:r w:rsidRPr="0055706C">
        <w:rPr>
          <w:rFonts w:ascii="Calibri" w:hAnsi="Calibri" w:cs="Calibri"/>
          <w:sz w:val="20"/>
          <w:szCs w:val="20"/>
        </w:rPr>
        <w:t xml:space="preserve"> </w:t>
      </w:r>
      <w:r w:rsidR="00050830" w:rsidRPr="00050830">
        <w:rPr>
          <w:rFonts w:ascii="Calibri" w:hAnsi="Calibri" w:cs="Calibri"/>
          <w:sz w:val="20"/>
          <w:szCs w:val="20"/>
        </w:rPr>
        <w:t>CXCR3 is a chemokine G protein-coupled receptor (GPCR) with critical roles in cancer, autoimmunity</w:t>
      </w:r>
      <w:r w:rsidR="00050830">
        <w:rPr>
          <w:rFonts w:ascii="Calibri" w:hAnsi="Calibri" w:cs="Calibri"/>
          <w:sz w:val="20"/>
          <w:szCs w:val="20"/>
        </w:rPr>
        <w:t>, and transplant rejection</w:t>
      </w:r>
      <w:r w:rsidR="00050830" w:rsidRPr="00050830">
        <w:rPr>
          <w:rFonts w:ascii="Calibri" w:hAnsi="Calibri" w:cs="Calibri"/>
          <w:sz w:val="20"/>
          <w:szCs w:val="20"/>
        </w:rPr>
        <w:t>. By directing T-cell recruitment to sites of inflammation, CXCR3 serves as both a driver of protective immune responses and a promoter of pathological processes, including tumour growth and metastasis. CXCR3 is activated by four endogenous chemokines (CXCL4, CXCL9, CXCL10, CXCL11), which differentially engage G protein-dependent and -independent pathways, giving rise to biased signalling. Two splicing variants, CXCR3A and CXCR3B, further diversify receptor function, displaying opposing effects on cell proliferation and disease progression. Despite growing interest in CXCR3 as a therapeutic target, major gaps remain: the signalling capacity of CXCR3B is poorly defined, and the mechanisms by which antagonists modulate biased signalling remain largely unexplored.</w:t>
      </w:r>
      <w:r w:rsidR="00050830">
        <w:rPr>
          <w:rFonts w:ascii="Calibri" w:hAnsi="Calibri" w:cs="Calibri"/>
          <w:sz w:val="20"/>
          <w:szCs w:val="20"/>
        </w:rPr>
        <w:t xml:space="preserve"> </w:t>
      </w:r>
      <w:r w:rsidR="00050830" w:rsidRPr="00050830">
        <w:rPr>
          <w:rFonts w:ascii="Calibri" w:hAnsi="Calibri" w:cs="Calibri"/>
          <w:sz w:val="20"/>
          <w:szCs w:val="20"/>
        </w:rPr>
        <w:t>Addressing these gaps is essential for advancing precision pharmacology, enabling the rational design of therapeutics that selectively target pathogenic signalling while preserving protective functions of CXCR3.</w:t>
      </w:r>
      <w:r w:rsidR="005C38E3">
        <w:rPr>
          <w:rFonts w:ascii="Calibri" w:hAnsi="Calibri" w:cs="Calibri"/>
          <w:sz w:val="20"/>
          <w:szCs w:val="20"/>
        </w:rPr>
        <w:t xml:space="preserve">                   </w:t>
      </w:r>
      <w:r w:rsidR="005C38E3">
        <w:rPr>
          <w:rFonts w:ascii="Calibri" w:hAnsi="Calibri" w:cs="Calibri"/>
          <w:sz w:val="20"/>
          <w:szCs w:val="20"/>
        </w:rPr>
        <w:tab/>
      </w:r>
      <w:r w:rsidR="005C38E3">
        <w:rPr>
          <w:rFonts w:ascii="Calibri" w:hAnsi="Calibri" w:cs="Calibri"/>
          <w:sz w:val="20"/>
          <w:szCs w:val="20"/>
        </w:rPr>
        <w:tab/>
      </w:r>
      <w:r w:rsidR="005C38E3">
        <w:rPr>
          <w:rFonts w:ascii="Calibri" w:hAnsi="Calibri" w:cs="Calibri"/>
          <w:sz w:val="20"/>
          <w:szCs w:val="20"/>
        </w:rPr>
        <w:tab/>
      </w:r>
      <w:r w:rsidR="005C38E3">
        <w:rPr>
          <w:rFonts w:ascii="Calibri" w:hAnsi="Calibri" w:cs="Calibri"/>
          <w:sz w:val="20"/>
          <w:szCs w:val="20"/>
        </w:rPr>
        <w:tab/>
      </w:r>
      <w:r w:rsidR="005C38E3">
        <w:rPr>
          <w:rFonts w:ascii="Calibri" w:hAnsi="Calibri" w:cs="Calibri"/>
          <w:sz w:val="20"/>
          <w:szCs w:val="20"/>
        </w:rPr>
        <w:tab/>
      </w:r>
      <w:r w:rsidR="005C38E3">
        <w:rPr>
          <w:rFonts w:ascii="Calibri" w:hAnsi="Calibri" w:cs="Calibri"/>
          <w:sz w:val="20"/>
          <w:szCs w:val="20"/>
        </w:rPr>
        <w:tab/>
        <w:t xml:space="preserve">                </w:t>
      </w:r>
      <w:r w:rsidRPr="0055706C">
        <w:rPr>
          <w:rFonts w:ascii="Calibri" w:hAnsi="Calibri" w:cs="Calibri"/>
          <w:b/>
          <w:bCs/>
          <w:sz w:val="20"/>
          <w:szCs w:val="20"/>
        </w:rPr>
        <w:t>Aims</w:t>
      </w:r>
      <w:r w:rsidRPr="0055706C">
        <w:rPr>
          <w:rFonts w:ascii="Calibri" w:hAnsi="Calibri" w:cs="Calibri"/>
          <w:sz w:val="20"/>
          <w:szCs w:val="20"/>
        </w:rPr>
        <w:t xml:space="preserve"> To systematically characterise the signalling profiles </w:t>
      </w:r>
      <w:r>
        <w:rPr>
          <w:rFonts w:ascii="Calibri" w:hAnsi="Calibri" w:cs="Calibri"/>
          <w:sz w:val="20"/>
          <w:szCs w:val="20"/>
        </w:rPr>
        <w:t xml:space="preserve">that attribute to diverse physiological responses </w:t>
      </w:r>
      <w:r w:rsidRPr="0055706C">
        <w:rPr>
          <w:rFonts w:ascii="Calibri" w:hAnsi="Calibri" w:cs="Calibri"/>
          <w:sz w:val="20"/>
          <w:szCs w:val="20"/>
        </w:rPr>
        <w:t xml:space="preserve">of </w:t>
      </w:r>
      <w:r>
        <w:rPr>
          <w:rFonts w:ascii="Calibri" w:hAnsi="Calibri" w:cs="Calibri"/>
          <w:sz w:val="20"/>
          <w:szCs w:val="20"/>
        </w:rPr>
        <w:t xml:space="preserve">the two </w:t>
      </w:r>
      <w:r w:rsidRPr="0055706C">
        <w:rPr>
          <w:rFonts w:ascii="Calibri" w:hAnsi="Calibri" w:cs="Calibri"/>
          <w:sz w:val="20"/>
          <w:szCs w:val="20"/>
        </w:rPr>
        <w:t>CXCR3 isoforms and assess their inhibition by monoclonal antibody (mAb) and small-molecule antagonists</w:t>
      </w:r>
      <w:r>
        <w:rPr>
          <w:rFonts w:ascii="Calibri" w:hAnsi="Calibri" w:cs="Calibri"/>
          <w:sz w:val="20"/>
          <w:szCs w:val="20"/>
        </w:rPr>
        <w:t>; highlighting differences in</w:t>
      </w:r>
      <w:r w:rsidR="00355F46">
        <w:rPr>
          <w:rFonts w:ascii="Calibri" w:hAnsi="Calibri" w:cs="Calibri"/>
          <w:sz w:val="20"/>
          <w:szCs w:val="20"/>
        </w:rPr>
        <w:t xml:space="preserve"> allosteric and orthosteric antagonism. </w:t>
      </w:r>
      <w:r>
        <w:rPr>
          <w:rFonts w:ascii="Calibri" w:hAnsi="Calibri" w:cs="Calibri"/>
          <w:sz w:val="20"/>
          <w:szCs w:val="20"/>
        </w:rPr>
        <w:t xml:space="preserve"> </w:t>
      </w:r>
      <w:r w:rsidR="005C38E3">
        <w:rPr>
          <w:rFonts w:ascii="Calibri" w:hAnsi="Calibri" w:cs="Calibri"/>
          <w:sz w:val="20"/>
          <w:szCs w:val="20"/>
        </w:rPr>
        <w:tab/>
      </w:r>
      <w:r w:rsidR="005C38E3">
        <w:rPr>
          <w:rFonts w:ascii="Calibri" w:hAnsi="Calibri" w:cs="Calibri"/>
          <w:sz w:val="20"/>
          <w:szCs w:val="20"/>
        </w:rPr>
        <w:tab/>
      </w:r>
      <w:r w:rsidR="005C38E3">
        <w:rPr>
          <w:rFonts w:ascii="Calibri" w:hAnsi="Calibri" w:cs="Calibri"/>
          <w:sz w:val="20"/>
          <w:szCs w:val="20"/>
        </w:rPr>
        <w:tab/>
        <w:t xml:space="preserve">        </w:t>
      </w:r>
      <w:r w:rsidRPr="0055706C">
        <w:rPr>
          <w:rFonts w:ascii="Calibri" w:hAnsi="Calibri" w:cs="Calibri"/>
          <w:b/>
          <w:bCs/>
          <w:sz w:val="20"/>
          <w:szCs w:val="20"/>
        </w:rPr>
        <w:t>Methods</w:t>
      </w:r>
      <w:r w:rsidRPr="0055706C">
        <w:rPr>
          <w:rFonts w:ascii="Calibri" w:hAnsi="Calibri" w:cs="Calibri"/>
          <w:sz w:val="20"/>
          <w:szCs w:val="20"/>
        </w:rPr>
        <w:t xml:space="preserve"> HEK293T cells were transfected with BRET biosensors to quantify β-arrestin1/2 recruitment and G protein activation (Gαi0/a, Gαi1, Gαi2, Gαi3, Gαq) by CXCR3A and CXCR3B in response to CXCL4, CXCL9, CXCL10 and CXCL11. Antagonism was assessed using patented mAbs (MAB160, Hu37) and the small molecule AMG487.</w:t>
      </w:r>
      <w:r w:rsidR="005C38E3">
        <w:rPr>
          <w:rFonts w:ascii="Calibri" w:hAnsi="Calibri" w:cs="Calibri"/>
          <w:sz w:val="20"/>
          <w:szCs w:val="20"/>
        </w:rPr>
        <w:t xml:space="preserve">  </w:t>
      </w:r>
      <w:r w:rsidRPr="0055706C">
        <w:rPr>
          <w:rFonts w:ascii="Calibri" w:hAnsi="Calibri" w:cs="Calibri"/>
          <w:b/>
          <w:bCs/>
          <w:sz w:val="20"/>
          <w:szCs w:val="20"/>
        </w:rPr>
        <w:t>Results and Discussion</w:t>
      </w:r>
      <w:r w:rsidRPr="0055706C">
        <w:rPr>
          <w:rFonts w:ascii="Calibri" w:hAnsi="Calibri" w:cs="Calibri"/>
          <w:sz w:val="20"/>
          <w:szCs w:val="20"/>
        </w:rPr>
        <w:t xml:space="preserve"> </w:t>
      </w:r>
      <w:r w:rsidR="00355F46" w:rsidRPr="00355F46">
        <w:rPr>
          <w:rFonts w:ascii="Calibri" w:hAnsi="Calibri" w:cs="Calibri"/>
          <w:sz w:val="20"/>
          <w:szCs w:val="20"/>
        </w:rPr>
        <w:t>CXCR3 isoforms display ligand- and pathway-specific signalling bias. Both CXCR3A and CXCR3B are competent for G protein coupling, with strongest recruitment of Gαi3 and weaker engagement of Gαi1, Gαi2 and Gαo, contradicting earlier assumptions that CXCR3B lacks G protein activity. CXCL11 acted as a full agonist at both isoforms, whereas CXCL9 and CXCL10 showed weaker, selective responses; CXCL9 in particular failed to recruit β-arrestins at CXCR3B. These findings demonstrate that endogenous ligands are not redundant but instead drive distinct signalling outcomes, consistent with their differential disease associations.</w:t>
      </w:r>
      <w:r w:rsidR="00355F46">
        <w:rPr>
          <w:rFonts w:ascii="Calibri" w:hAnsi="Calibri" w:cs="Calibri"/>
          <w:sz w:val="20"/>
          <w:szCs w:val="20"/>
        </w:rPr>
        <w:t xml:space="preserve"> </w:t>
      </w:r>
      <w:r w:rsidR="00355F46" w:rsidRPr="00355F46">
        <w:rPr>
          <w:rFonts w:ascii="Calibri" w:hAnsi="Calibri" w:cs="Calibri"/>
          <w:sz w:val="20"/>
          <w:szCs w:val="20"/>
        </w:rPr>
        <w:t>Antagonist profiling revealed mechanistic differences: the small molecule AMG487 broadly inhibited both β-arrestin and G protein pathways with highest potency, reflecting its orthosteric-like binding within the conserved transmembrane pocket. In contrast, monoclonal antibodies (Hu37, MAB160) showed weaker, more selective inhibition, sparing CXCL9 responses and displaying reduced potency at CXCR3B, likely due to its extended N-terminus.</w:t>
      </w:r>
      <w:r w:rsidR="00355F46">
        <w:rPr>
          <w:rFonts w:ascii="Calibri" w:hAnsi="Calibri" w:cs="Calibri"/>
          <w:sz w:val="20"/>
          <w:szCs w:val="20"/>
        </w:rPr>
        <w:t xml:space="preserve"> </w:t>
      </w:r>
      <w:r w:rsidR="00355F46" w:rsidRPr="00355F46">
        <w:rPr>
          <w:rFonts w:ascii="Calibri" w:hAnsi="Calibri" w:cs="Calibri"/>
          <w:sz w:val="20"/>
          <w:szCs w:val="20"/>
        </w:rPr>
        <w:t>Together, these results refine the pharmacological landscape of CXCR3. They show that biased agonism, isoform-specific signalling, and antagonist mechanism collectively shape receptor activity, with broad inhibitors like AMG487 offering complete pathway suppression, while antibodies may enable more selective therapeutic modulation.</w:t>
      </w:r>
    </w:p>
    <w:p w:rsidR="00876698" w:rsidRDefault="00876698" w:rsidP="00447EA4">
      <w:pPr>
        <w:jc w:val="both"/>
        <w:rPr>
          <w:rFonts w:ascii="Times New Roman" w:hAnsi="Times New Roman" w:cs="Times New Roman"/>
          <w:sz w:val="24"/>
          <w:szCs w:val="24"/>
        </w:rPr>
      </w:pPr>
    </w:p>
    <w:p w:rsidR="00876698" w:rsidRDefault="00876698" w:rsidP="00447EA4">
      <w:pPr>
        <w:jc w:val="both"/>
        <w:rPr>
          <w:rFonts w:ascii="Times New Roman" w:hAnsi="Times New Roman" w:cs="Times New Roman"/>
          <w:sz w:val="24"/>
          <w:szCs w:val="24"/>
        </w:rPr>
      </w:pPr>
    </w:p>
    <w:p w:rsidR="00876698" w:rsidRDefault="00876698" w:rsidP="00447EA4">
      <w:pPr>
        <w:jc w:val="both"/>
        <w:rPr>
          <w:rFonts w:ascii="Times New Roman" w:hAnsi="Times New Roman" w:cs="Times New Roman"/>
          <w:sz w:val="24"/>
          <w:szCs w:val="24"/>
        </w:rPr>
      </w:pPr>
    </w:p>
    <w:p w:rsidR="00876698" w:rsidRDefault="00876698" w:rsidP="00447EA4">
      <w:pPr>
        <w:jc w:val="both"/>
        <w:rPr>
          <w:rFonts w:ascii="Times New Roman" w:hAnsi="Times New Roman" w:cs="Times New Roman"/>
          <w:sz w:val="24"/>
          <w:szCs w:val="24"/>
        </w:rPr>
      </w:pPr>
    </w:p>
    <w:p w:rsidR="00447EA4" w:rsidRPr="00447EA4" w:rsidRDefault="00447EA4" w:rsidP="00447EA4">
      <w:pPr>
        <w:rPr>
          <w:vanish/>
        </w:rPr>
      </w:pPr>
      <w:r w:rsidRPr="00447EA4">
        <w:rPr>
          <w:vanish/>
        </w:rPr>
        <w:t>Top of Form</w:t>
      </w:r>
    </w:p>
    <w:p w:rsidR="00D91F3E" w:rsidRPr="00447EA4" w:rsidRDefault="00D91F3E"/>
    <w:sectPr w:rsidR="00D91F3E" w:rsidRPr="00447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0C"/>
    <w:rsid w:val="000171FE"/>
    <w:rsid w:val="00050830"/>
    <w:rsid w:val="000801A0"/>
    <w:rsid w:val="000876C3"/>
    <w:rsid w:val="000E0C8B"/>
    <w:rsid w:val="001306A1"/>
    <w:rsid w:val="00133AF7"/>
    <w:rsid w:val="001420D4"/>
    <w:rsid w:val="00296C77"/>
    <w:rsid w:val="003039B9"/>
    <w:rsid w:val="00355F46"/>
    <w:rsid w:val="004110C7"/>
    <w:rsid w:val="00447EA4"/>
    <w:rsid w:val="00457B77"/>
    <w:rsid w:val="00465744"/>
    <w:rsid w:val="004B57EF"/>
    <w:rsid w:val="0055706C"/>
    <w:rsid w:val="00581CCA"/>
    <w:rsid w:val="005C38E3"/>
    <w:rsid w:val="00633787"/>
    <w:rsid w:val="006712F1"/>
    <w:rsid w:val="00787F1A"/>
    <w:rsid w:val="007B5686"/>
    <w:rsid w:val="00802893"/>
    <w:rsid w:val="00876698"/>
    <w:rsid w:val="0092279C"/>
    <w:rsid w:val="0093319F"/>
    <w:rsid w:val="009444E4"/>
    <w:rsid w:val="009622DA"/>
    <w:rsid w:val="00993A95"/>
    <w:rsid w:val="00A47914"/>
    <w:rsid w:val="00A47989"/>
    <w:rsid w:val="00AD7809"/>
    <w:rsid w:val="00C33FA3"/>
    <w:rsid w:val="00C40366"/>
    <w:rsid w:val="00C66D90"/>
    <w:rsid w:val="00C73830"/>
    <w:rsid w:val="00C87F86"/>
    <w:rsid w:val="00D118E5"/>
    <w:rsid w:val="00D91F3E"/>
    <w:rsid w:val="00DD2399"/>
    <w:rsid w:val="00E74ED9"/>
    <w:rsid w:val="00F00EA3"/>
    <w:rsid w:val="00F07354"/>
    <w:rsid w:val="00F60338"/>
    <w:rsid w:val="00F66B8F"/>
    <w:rsid w:val="00FB01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64AB"/>
  <w15:chartTrackingRefBased/>
  <w15:docId w15:val="{034C3B17-61CB-46F0-A15E-375A3A00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D90"/>
    <w:rPr>
      <w:color w:val="0563C1" w:themeColor="hyperlink"/>
      <w:u w:val="single"/>
    </w:rPr>
  </w:style>
  <w:style w:type="character" w:styleId="UnresolvedMention">
    <w:name w:val="Unresolved Mention"/>
    <w:basedOn w:val="DefaultParagraphFont"/>
    <w:uiPriority w:val="99"/>
    <w:semiHidden/>
    <w:unhideWhenUsed/>
    <w:rsid w:val="00C6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0947">
      <w:bodyDiv w:val="1"/>
      <w:marLeft w:val="0"/>
      <w:marRight w:val="0"/>
      <w:marTop w:val="0"/>
      <w:marBottom w:val="0"/>
      <w:divBdr>
        <w:top w:val="none" w:sz="0" w:space="0" w:color="auto"/>
        <w:left w:val="none" w:sz="0" w:space="0" w:color="auto"/>
        <w:bottom w:val="none" w:sz="0" w:space="0" w:color="auto"/>
        <w:right w:val="none" w:sz="0" w:space="0" w:color="auto"/>
      </w:divBdr>
      <w:divsChild>
        <w:div w:id="1791627622">
          <w:marLeft w:val="0"/>
          <w:marRight w:val="0"/>
          <w:marTop w:val="0"/>
          <w:marBottom w:val="0"/>
          <w:divBdr>
            <w:top w:val="single" w:sz="2" w:space="0" w:color="D9D9E3"/>
            <w:left w:val="single" w:sz="2" w:space="0" w:color="D9D9E3"/>
            <w:bottom w:val="single" w:sz="2" w:space="0" w:color="D9D9E3"/>
            <w:right w:val="single" w:sz="2" w:space="0" w:color="D9D9E3"/>
          </w:divBdr>
          <w:divsChild>
            <w:div w:id="204488294">
              <w:marLeft w:val="0"/>
              <w:marRight w:val="0"/>
              <w:marTop w:val="0"/>
              <w:marBottom w:val="0"/>
              <w:divBdr>
                <w:top w:val="single" w:sz="2" w:space="0" w:color="D9D9E3"/>
                <w:left w:val="single" w:sz="2" w:space="0" w:color="D9D9E3"/>
                <w:bottom w:val="single" w:sz="2" w:space="0" w:color="D9D9E3"/>
                <w:right w:val="single" w:sz="2" w:space="0" w:color="D9D9E3"/>
              </w:divBdr>
              <w:divsChild>
                <w:div w:id="1618096305">
                  <w:marLeft w:val="0"/>
                  <w:marRight w:val="0"/>
                  <w:marTop w:val="0"/>
                  <w:marBottom w:val="0"/>
                  <w:divBdr>
                    <w:top w:val="single" w:sz="2" w:space="0" w:color="D9D9E3"/>
                    <w:left w:val="single" w:sz="2" w:space="0" w:color="D9D9E3"/>
                    <w:bottom w:val="single" w:sz="2" w:space="0" w:color="D9D9E3"/>
                    <w:right w:val="single" w:sz="2" w:space="0" w:color="D9D9E3"/>
                  </w:divBdr>
                  <w:divsChild>
                    <w:div w:id="729425702">
                      <w:marLeft w:val="0"/>
                      <w:marRight w:val="0"/>
                      <w:marTop w:val="0"/>
                      <w:marBottom w:val="0"/>
                      <w:divBdr>
                        <w:top w:val="single" w:sz="2" w:space="0" w:color="D9D9E3"/>
                        <w:left w:val="single" w:sz="2" w:space="0" w:color="D9D9E3"/>
                        <w:bottom w:val="single" w:sz="2" w:space="0" w:color="D9D9E3"/>
                        <w:right w:val="single" w:sz="2" w:space="0" w:color="D9D9E3"/>
                      </w:divBdr>
                      <w:divsChild>
                        <w:div w:id="865796214">
                          <w:marLeft w:val="0"/>
                          <w:marRight w:val="0"/>
                          <w:marTop w:val="0"/>
                          <w:marBottom w:val="0"/>
                          <w:divBdr>
                            <w:top w:val="single" w:sz="2" w:space="0" w:color="auto"/>
                            <w:left w:val="single" w:sz="2" w:space="0" w:color="auto"/>
                            <w:bottom w:val="single" w:sz="6" w:space="0" w:color="auto"/>
                            <w:right w:val="single" w:sz="2" w:space="0" w:color="auto"/>
                          </w:divBdr>
                          <w:divsChild>
                            <w:div w:id="1967809437">
                              <w:marLeft w:val="0"/>
                              <w:marRight w:val="0"/>
                              <w:marTop w:val="100"/>
                              <w:marBottom w:val="100"/>
                              <w:divBdr>
                                <w:top w:val="single" w:sz="2" w:space="0" w:color="D9D9E3"/>
                                <w:left w:val="single" w:sz="2" w:space="0" w:color="D9D9E3"/>
                                <w:bottom w:val="single" w:sz="2" w:space="0" w:color="D9D9E3"/>
                                <w:right w:val="single" w:sz="2" w:space="0" w:color="D9D9E3"/>
                              </w:divBdr>
                              <w:divsChild>
                                <w:div w:id="553199849">
                                  <w:marLeft w:val="0"/>
                                  <w:marRight w:val="0"/>
                                  <w:marTop w:val="0"/>
                                  <w:marBottom w:val="0"/>
                                  <w:divBdr>
                                    <w:top w:val="single" w:sz="2" w:space="0" w:color="D9D9E3"/>
                                    <w:left w:val="single" w:sz="2" w:space="0" w:color="D9D9E3"/>
                                    <w:bottom w:val="single" w:sz="2" w:space="0" w:color="D9D9E3"/>
                                    <w:right w:val="single" w:sz="2" w:space="0" w:color="D9D9E3"/>
                                  </w:divBdr>
                                  <w:divsChild>
                                    <w:div w:id="1763986558">
                                      <w:marLeft w:val="0"/>
                                      <w:marRight w:val="0"/>
                                      <w:marTop w:val="0"/>
                                      <w:marBottom w:val="0"/>
                                      <w:divBdr>
                                        <w:top w:val="single" w:sz="2" w:space="0" w:color="D9D9E3"/>
                                        <w:left w:val="single" w:sz="2" w:space="0" w:color="D9D9E3"/>
                                        <w:bottom w:val="single" w:sz="2" w:space="0" w:color="D9D9E3"/>
                                        <w:right w:val="single" w:sz="2" w:space="0" w:color="D9D9E3"/>
                                      </w:divBdr>
                                      <w:divsChild>
                                        <w:div w:id="1551258999">
                                          <w:marLeft w:val="0"/>
                                          <w:marRight w:val="0"/>
                                          <w:marTop w:val="0"/>
                                          <w:marBottom w:val="0"/>
                                          <w:divBdr>
                                            <w:top w:val="single" w:sz="2" w:space="0" w:color="D9D9E3"/>
                                            <w:left w:val="single" w:sz="2" w:space="0" w:color="D9D9E3"/>
                                            <w:bottom w:val="single" w:sz="2" w:space="0" w:color="D9D9E3"/>
                                            <w:right w:val="single" w:sz="2" w:space="0" w:color="D9D9E3"/>
                                          </w:divBdr>
                                          <w:divsChild>
                                            <w:div w:id="1927032674">
                                              <w:marLeft w:val="0"/>
                                              <w:marRight w:val="0"/>
                                              <w:marTop w:val="0"/>
                                              <w:marBottom w:val="0"/>
                                              <w:divBdr>
                                                <w:top w:val="single" w:sz="2" w:space="0" w:color="D9D9E3"/>
                                                <w:left w:val="single" w:sz="2" w:space="0" w:color="D9D9E3"/>
                                                <w:bottom w:val="single" w:sz="2" w:space="0" w:color="D9D9E3"/>
                                                <w:right w:val="single" w:sz="2" w:space="0" w:color="D9D9E3"/>
                                              </w:divBdr>
                                              <w:divsChild>
                                                <w:div w:id="1308702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36520744">
          <w:marLeft w:val="0"/>
          <w:marRight w:val="0"/>
          <w:marTop w:val="0"/>
          <w:marBottom w:val="0"/>
          <w:divBdr>
            <w:top w:val="none" w:sz="0" w:space="0" w:color="auto"/>
            <w:left w:val="none" w:sz="0" w:space="0" w:color="auto"/>
            <w:bottom w:val="none" w:sz="0" w:space="0" w:color="auto"/>
            <w:right w:val="none" w:sz="0" w:space="0" w:color="auto"/>
          </w:divBdr>
        </w:div>
      </w:divsChild>
    </w:div>
    <w:div w:id="116534502">
      <w:bodyDiv w:val="1"/>
      <w:marLeft w:val="0"/>
      <w:marRight w:val="0"/>
      <w:marTop w:val="0"/>
      <w:marBottom w:val="0"/>
      <w:divBdr>
        <w:top w:val="none" w:sz="0" w:space="0" w:color="auto"/>
        <w:left w:val="none" w:sz="0" w:space="0" w:color="auto"/>
        <w:bottom w:val="none" w:sz="0" w:space="0" w:color="auto"/>
        <w:right w:val="none" w:sz="0" w:space="0" w:color="auto"/>
      </w:divBdr>
    </w:div>
    <w:div w:id="419571871">
      <w:bodyDiv w:val="1"/>
      <w:marLeft w:val="0"/>
      <w:marRight w:val="0"/>
      <w:marTop w:val="0"/>
      <w:marBottom w:val="0"/>
      <w:divBdr>
        <w:top w:val="none" w:sz="0" w:space="0" w:color="auto"/>
        <w:left w:val="none" w:sz="0" w:space="0" w:color="auto"/>
        <w:bottom w:val="none" w:sz="0" w:space="0" w:color="auto"/>
        <w:right w:val="none" w:sz="0" w:space="0" w:color="auto"/>
      </w:divBdr>
    </w:div>
    <w:div w:id="598609863">
      <w:bodyDiv w:val="1"/>
      <w:marLeft w:val="0"/>
      <w:marRight w:val="0"/>
      <w:marTop w:val="0"/>
      <w:marBottom w:val="0"/>
      <w:divBdr>
        <w:top w:val="none" w:sz="0" w:space="0" w:color="auto"/>
        <w:left w:val="none" w:sz="0" w:space="0" w:color="auto"/>
        <w:bottom w:val="none" w:sz="0" w:space="0" w:color="auto"/>
        <w:right w:val="none" w:sz="0" w:space="0" w:color="auto"/>
      </w:divBdr>
    </w:div>
    <w:div w:id="1153910507">
      <w:bodyDiv w:val="1"/>
      <w:marLeft w:val="0"/>
      <w:marRight w:val="0"/>
      <w:marTop w:val="0"/>
      <w:marBottom w:val="0"/>
      <w:divBdr>
        <w:top w:val="none" w:sz="0" w:space="0" w:color="auto"/>
        <w:left w:val="none" w:sz="0" w:space="0" w:color="auto"/>
        <w:bottom w:val="none" w:sz="0" w:space="0" w:color="auto"/>
        <w:right w:val="none" w:sz="0" w:space="0" w:color="auto"/>
      </w:divBdr>
    </w:div>
    <w:div w:id="19577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Beyger</dc:creator>
  <cp:keywords/>
  <dc:description/>
  <cp:lastModifiedBy>Anna Beyger</cp:lastModifiedBy>
  <cp:revision>10</cp:revision>
  <dcterms:created xsi:type="dcterms:W3CDTF">2025-09-15T08:57:00Z</dcterms:created>
  <dcterms:modified xsi:type="dcterms:W3CDTF">2025-09-15T09:28:00Z</dcterms:modified>
</cp:coreProperties>
</file>