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9DCEA" w14:textId="134B5136" w:rsidR="00711813" w:rsidRPr="00D754E9" w:rsidRDefault="00E50269" w:rsidP="00D754E9">
      <w:pPr>
        <w:rPr>
          <w:rFonts w:ascii="Calibri" w:hAnsi="Calibri" w:cs="Calibri"/>
          <w:b/>
          <w:bCs/>
          <w:sz w:val="20"/>
          <w:szCs w:val="20"/>
          <w:lang w:val="en-AU"/>
        </w:rPr>
      </w:pPr>
      <w:r w:rsidRPr="00D754E9">
        <w:rPr>
          <w:rFonts w:ascii="Calibri" w:hAnsi="Calibri" w:cs="Calibri"/>
          <w:b/>
          <w:bCs/>
          <w:sz w:val="20"/>
          <w:szCs w:val="20"/>
          <w:lang w:val="en-AU"/>
        </w:rPr>
        <w:t>VDR rs10735810 Polymorphism Associated With Dyslipidemia in Pre-elderly and Elderly Indonesian Population</w:t>
      </w:r>
      <w:r w:rsidR="00711813" w:rsidRPr="00D754E9">
        <w:rPr>
          <w:rFonts w:ascii="Calibri" w:hAnsi="Calibri" w:cs="Calibri"/>
          <w:b/>
          <w:bCs/>
          <w:sz w:val="20"/>
          <w:szCs w:val="20"/>
          <w:lang w:val="en-AU"/>
        </w:rPr>
        <w:t xml:space="preserve"> </w:t>
      </w:r>
    </w:p>
    <w:p w14:paraId="0B1CA5B3" w14:textId="423EF3D0" w:rsidR="00711813" w:rsidRPr="00D754E9" w:rsidRDefault="00E50269" w:rsidP="00711813">
      <w:pPr>
        <w:jc w:val="both"/>
        <w:rPr>
          <w:rFonts w:ascii="Calibri" w:hAnsi="Calibri" w:cs="Calibri"/>
          <w:sz w:val="20"/>
          <w:szCs w:val="20"/>
          <w:lang w:val="en-AU"/>
        </w:rPr>
      </w:pPr>
      <w:r w:rsidRPr="00D754E9">
        <w:rPr>
          <w:rFonts w:ascii="Calibri" w:hAnsi="Calibri" w:cs="Calibri"/>
          <w:sz w:val="20"/>
          <w:szCs w:val="20"/>
          <w:lang w:val="en-AU"/>
        </w:rPr>
        <w:t>Linawati Hananta</w:t>
      </w:r>
      <w:r w:rsidRPr="00D754E9">
        <w:rPr>
          <w:rFonts w:ascii="Calibri" w:hAnsi="Calibri" w:cs="Calibri"/>
          <w:sz w:val="20"/>
          <w:szCs w:val="20"/>
          <w:vertAlign w:val="superscript"/>
          <w:lang w:val="en-AU"/>
        </w:rPr>
        <w:t>1</w:t>
      </w:r>
      <w:r w:rsidR="00711813" w:rsidRPr="00D754E9">
        <w:rPr>
          <w:rFonts w:ascii="Calibri" w:hAnsi="Calibri" w:cs="Calibri"/>
          <w:sz w:val="20"/>
          <w:szCs w:val="20"/>
          <w:lang w:val="en-AU"/>
        </w:rPr>
        <w:t xml:space="preserve">, </w:t>
      </w:r>
      <w:r w:rsidRPr="00D754E9">
        <w:rPr>
          <w:rFonts w:ascii="Calibri" w:hAnsi="Calibri" w:cs="Calibri"/>
          <w:sz w:val="20"/>
          <w:szCs w:val="20"/>
          <w:lang w:val="en-AU"/>
        </w:rPr>
        <w:t>Nic</w:t>
      </w:r>
      <w:r w:rsidR="00711813" w:rsidRPr="00D754E9">
        <w:rPr>
          <w:rFonts w:ascii="Calibri" w:hAnsi="Calibri" w:cs="Calibri"/>
          <w:sz w:val="20"/>
          <w:szCs w:val="20"/>
          <w:lang w:val="en-AU"/>
        </w:rPr>
        <w:t>h</w:t>
      </w:r>
      <w:r w:rsidRPr="00D754E9">
        <w:rPr>
          <w:rFonts w:ascii="Calibri" w:hAnsi="Calibri" w:cs="Calibri"/>
          <w:sz w:val="20"/>
          <w:szCs w:val="20"/>
          <w:lang w:val="en-AU"/>
        </w:rPr>
        <w:t>olas Francisco Gaverio</w:t>
      </w:r>
      <w:r w:rsidR="00711813" w:rsidRPr="00D754E9">
        <w:rPr>
          <w:rFonts w:ascii="Calibri" w:hAnsi="Calibri" w:cs="Calibri"/>
          <w:sz w:val="20"/>
          <w:szCs w:val="20"/>
          <w:vertAlign w:val="superscript"/>
          <w:lang w:val="en-AU"/>
        </w:rPr>
        <w:t>2</w:t>
      </w:r>
      <w:r w:rsidR="009464D4">
        <w:rPr>
          <w:rFonts w:ascii="Calibri" w:hAnsi="Calibri" w:cs="Calibri"/>
          <w:sz w:val="20"/>
          <w:szCs w:val="20"/>
          <w:lang w:val="en-AU"/>
        </w:rPr>
        <w:t>, Daryn Andrea Kusuma</w:t>
      </w:r>
      <w:r w:rsidR="009464D4">
        <w:rPr>
          <w:rFonts w:ascii="Calibri" w:hAnsi="Calibri" w:cs="Calibri"/>
          <w:sz w:val="20"/>
          <w:szCs w:val="20"/>
          <w:vertAlign w:val="superscript"/>
          <w:lang w:val="en-AU"/>
        </w:rPr>
        <w:t>3</w:t>
      </w:r>
      <w:r w:rsidR="009464D4">
        <w:rPr>
          <w:rFonts w:ascii="Calibri" w:hAnsi="Calibri" w:cs="Calibri"/>
          <w:sz w:val="20"/>
          <w:szCs w:val="20"/>
          <w:lang w:val="en-AU"/>
        </w:rPr>
        <w:t>, Florensia Evelin Nathania</w:t>
      </w:r>
      <w:r w:rsidR="009464D4">
        <w:rPr>
          <w:rFonts w:ascii="Calibri" w:hAnsi="Calibri" w:cs="Calibri"/>
          <w:sz w:val="20"/>
          <w:szCs w:val="20"/>
          <w:vertAlign w:val="superscript"/>
          <w:lang w:val="en-AU"/>
        </w:rPr>
        <w:t>4</w:t>
      </w:r>
      <w:r w:rsidR="009464D4">
        <w:rPr>
          <w:rFonts w:ascii="Calibri" w:hAnsi="Calibri" w:cs="Calibri"/>
          <w:sz w:val="20"/>
          <w:szCs w:val="20"/>
          <w:lang w:val="en-AU"/>
        </w:rPr>
        <w:t>, Isadora Gracia Sahusilawane</w:t>
      </w:r>
      <w:r w:rsidR="009464D4">
        <w:rPr>
          <w:rFonts w:ascii="Calibri" w:hAnsi="Calibri" w:cs="Calibri"/>
          <w:sz w:val="20"/>
          <w:szCs w:val="20"/>
          <w:vertAlign w:val="superscript"/>
          <w:lang w:val="en-AU"/>
        </w:rPr>
        <w:t>5</w:t>
      </w:r>
      <w:r w:rsidR="009464D4">
        <w:rPr>
          <w:rFonts w:ascii="Calibri" w:hAnsi="Calibri" w:cs="Calibri"/>
          <w:sz w:val="20"/>
          <w:szCs w:val="20"/>
          <w:lang w:val="en-AU"/>
        </w:rPr>
        <w:t>, Lonah</w:t>
      </w:r>
      <w:r w:rsidR="009464D4">
        <w:rPr>
          <w:rFonts w:ascii="Calibri" w:hAnsi="Calibri" w:cs="Calibri"/>
          <w:sz w:val="20"/>
          <w:szCs w:val="20"/>
          <w:vertAlign w:val="superscript"/>
          <w:lang w:val="en-AU"/>
        </w:rPr>
        <w:t>6</w:t>
      </w:r>
      <w:r w:rsidR="009464D4">
        <w:rPr>
          <w:rFonts w:ascii="Calibri" w:hAnsi="Calibri" w:cs="Calibri"/>
          <w:sz w:val="20"/>
          <w:szCs w:val="20"/>
          <w:lang w:val="en-AU"/>
        </w:rPr>
        <w:t xml:space="preserve">. </w:t>
      </w:r>
      <w:r w:rsidR="00711813" w:rsidRPr="00D754E9">
        <w:rPr>
          <w:rFonts w:ascii="Calibri" w:hAnsi="Calibri" w:cs="Calibri"/>
          <w:sz w:val="20"/>
          <w:szCs w:val="20"/>
          <w:lang w:val="en-AU"/>
        </w:rPr>
        <w:t>Dep</w:t>
      </w:r>
      <w:r w:rsidR="008909C9" w:rsidRPr="00D754E9">
        <w:rPr>
          <w:rFonts w:ascii="Calibri" w:hAnsi="Calibri" w:cs="Calibri"/>
          <w:sz w:val="20"/>
          <w:szCs w:val="20"/>
          <w:lang w:val="en-AU"/>
        </w:rPr>
        <w:t>artment</w:t>
      </w:r>
      <w:r w:rsidRPr="00D754E9">
        <w:rPr>
          <w:rFonts w:ascii="Calibri" w:hAnsi="Calibri" w:cs="Calibri"/>
          <w:sz w:val="20"/>
          <w:szCs w:val="20"/>
          <w:lang w:val="en-AU"/>
        </w:rPr>
        <w:t xml:space="preserve"> of Pharmacology</w:t>
      </w:r>
      <w:r w:rsidR="00711813" w:rsidRPr="00D754E9">
        <w:rPr>
          <w:rFonts w:ascii="Calibri" w:hAnsi="Calibri" w:cs="Calibri"/>
          <w:sz w:val="20"/>
          <w:szCs w:val="20"/>
          <w:lang w:val="en-AU"/>
        </w:rPr>
        <w:t xml:space="preserve">, </w:t>
      </w:r>
      <w:r w:rsidRPr="00D754E9">
        <w:rPr>
          <w:rFonts w:ascii="Calibri" w:hAnsi="Calibri" w:cs="Calibri"/>
          <w:sz w:val="20"/>
          <w:szCs w:val="20"/>
        </w:rPr>
        <w:t>School of Medicine and Health Sciences, Universitas Katolik Indonesia Atma Jaya</w:t>
      </w:r>
      <w:r w:rsidR="00711813" w:rsidRPr="00D754E9">
        <w:rPr>
          <w:rFonts w:ascii="Calibri" w:hAnsi="Calibri" w:cs="Calibri"/>
          <w:sz w:val="20"/>
          <w:szCs w:val="20"/>
          <w:vertAlign w:val="superscript"/>
          <w:lang w:val="en-AU"/>
        </w:rPr>
        <w:t>1</w:t>
      </w:r>
      <w:r w:rsidR="00D927A8">
        <w:rPr>
          <w:rFonts w:ascii="Calibri" w:hAnsi="Calibri" w:cs="Calibri"/>
          <w:sz w:val="20"/>
          <w:szCs w:val="20"/>
          <w:vertAlign w:val="superscript"/>
          <w:lang w:val="en-AU"/>
        </w:rPr>
        <w:t>,5,6</w:t>
      </w:r>
      <w:r w:rsidR="00711813" w:rsidRPr="00D754E9">
        <w:rPr>
          <w:rFonts w:ascii="Calibri" w:hAnsi="Calibri" w:cs="Calibri"/>
          <w:sz w:val="20"/>
          <w:szCs w:val="20"/>
          <w:lang w:val="en-AU"/>
        </w:rPr>
        <w:t xml:space="preserve">, </w:t>
      </w:r>
      <w:r w:rsidR="00D12465" w:rsidRPr="00D754E9">
        <w:rPr>
          <w:rFonts w:ascii="Calibri" w:hAnsi="Calibri" w:cs="Calibri"/>
          <w:sz w:val="20"/>
          <w:szCs w:val="20"/>
          <w:lang w:val="en-AU"/>
        </w:rPr>
        <w:t>DKI Jakarta</w:t>
      </w:r>
      <w:r w:rsidR="00711813" w:rsidRPr="00D754E9">
        <w:rPr>
          <w:rFonts w:ascii="Calibri" w:hAnsi="Calibri" w:cs="Calibri"/>
          <w:sz w:val="20"/>
          <w:szCs w:val="20"/>
          <w:lang w:val="en-AU"/>
        </w:rPr>
        <w:t xml:space="preserve">, </w:t>
      </w:r>
      <w:r w:rsidR="00D12465" w:rsidRPr="00D754E9">
        <w:rPr>
          <w:rFonts w:ascii="Calibri" w:hAnsi="Calibri" w:cs="Calibri"/>
          <w:sz w:val="20"/>
          <w:szCs w:val="20"/>
          <w:lang w:val="en-AU"/>
        </w:rPr>
        <w:t>Jakarta Utara</w:t>
      </w:r>
      <w:r w:rsidR="00EF12F3" w:rsidRPr="00D754E9">
        <w:rPr>
          <w:rFonts w:ascii="Calibri" w:hAnsi="Calibri" w:cs="Calibri"/>
          <w:sz w:val="20"/>
          <w:szCs w:val="20"/>
          <w:lang w:val="en-AU"/>
        </w:rPr>
        <w:t xml:space="preserve">, </w:t>
      </w:r>
      <w:r w:rsidR="00D12465" w:rsidRPr="00D754E9">
        <w:rPr>
          <w:rFonts w:ascii="Calibri" w:hAnsi="Calibri" w:cs="Calibri"/>
          <w:sz w:val="20"/>
          <w:szCs w:val="20"/>
          <w:lang w:val="en-AU"/>
        </w:rPr>
        <w:t>Indonesia</w:t>
      </w:r>
      <w:r w:rsidR="00711813" w:rsidRPr="00D754E9">
        <w:rPr>
          <w:rFonts w:ascii="Calibri" w:hAnsi="Calibri" w:cs="Calibri"/>
          <w:sz w:val="20"/>
          <w:szCs w:val="20"/>
          <w:lang w:val="en-AU"/>
        </w:rPr>
        <w:t xml:space="preserve">; </w:t>
      </w:r>
      <w:r w:rsidR="00D12465" w:rsidRPr="00D754E9">
        <w:rPr>
          <w:rFonts w:ascii="Calibri" w:hAnsi="Calibri" w:cs="Calibri"/>
          <w:sz w:val="20"/>
          <w:szCs w:val="20"/>
        </w:rPr>
        <w:t>Undergraduate Program, School of Medicine and Health Sciences, Universitas Katolik Indonesia Atma Jaya</w:t>
      </w:r>
      <w:r w:rsidR="00D12465" w:rsidRPr="00D754E9">
        <w:rPr>
          <w:rFonts w:ascii="Calibri" w:hAnsi="Calibri" w:cs="Calibri"/>
          <w:sz w:val="20"/>
          <w:szCs w:val="20"/>
          <w:vertAlign w:val="superscript"/>
          <w:lang w:val="en-AU"/>
        </w:rPr>
        <w:t xml:space="preserve"> </w:t>
      </w:r>
      <w:r w:rsidR="00711813" w:rsidRPr="00D754E9">
        <w:rPr>
          <w:rFonts w:ascii="Calibri" w:hAnsi="Calibri" w:cs="Calibri"/>
          <w:sz w:val="20"/>
          <w:szCs w:val="20"/>
          <w:vertAlign w:val="superscript"/>
          <w:lang w:val="en-AU"/>
        </w:rPr>
        <w:t>2</w:t>
      </w:r>
      <w:r w:rsidR="00D927A8">
        <w:rPr>
          <w:rFonts w:ascii="Calibri" w:hAnsi="Calibri" w:cs="Calibri"/>
          <w:sz w:val="20"/>
          <w:szCs w:val="20"/>
          <w:vertAlign w:val="superscript"/>
          <w:lang w:val="en-AU"/>
        </w:rPr>
        <w:t>,3,4</w:t>
      </w:r>
      <w:r w:rsidR="00711813" w:rsidRPr="00D754E9">
        <w:rPr>
          <w:rFonts w:ascii="Calibri" w:hAnsi="Calibri" w:cs="Calibri"/>
          <w:sz w:val="20"/>
          <w:szCs w:val="20"/>
          <w:lang w:val="en-AU"/>
        </w:rPr>
        <w:t xml:space="preserve">, </w:t>
      </w:r>
      <w:r w:rsidR="00D12465" w:rsidRPr="00D754E9">
        <w:rPr>
          <w:rFonts w:ascii="Calibri" w:hAnsi="Calibri" w:cs="Calibri"/>
          <w:sz w:val="20"/>
          <w:szCs w:val="20"/>
          <w:lang w:val="en-AU"/>
        </w:rPr>
        <w:t>DKI Jakarta, Jakarta Utara, Indonesia</w:t>
      </w:r>
      <w:r w:rsidR="00711813" w:rsidRPr="00D754E9">
        <w:rPr>
          <w:rFonts w:ascii="Calibri" w:hAnsi="Calibri" w:cs="Calibri"/>
          <w:sz w:val="20"/>
          <w:szCs w:val="20"/>
          <w:lang w:val="en-AU"/>
        </w:rPr>
        <w:t xml:space="preserve">. </w:t>
      </w:r>
    </w:p>
    <w:p w14:paraId="650D6957" w14:textId="159D6193" w:rsidR="00711813" w:rsidRPr="00D754E9" w:rsidRDefault="00711813" w:rsidP="00711813">
      <w:pPr>
        <w:pStyle w:val="Default"/>
        <w:jc w:val="both"/>
        <w:rPr>
          <w:color w:val="auto"/>
          <w:sz w:val="20"/>
          <w:szCs w:val="20"/>
          <w:lang w:val="en-AU"/>
        </w:rPr>
      </w:pPr>
      <w:r w:rsidRPr="00D754E9">
        <w:rPr>
          <w:i/>
          <w:color w:val="auto"/>
          <w:sz w:val="20"/>
          <w:szCs w:val="20"/>
        </w:rPr>
        <w:t xml:space="preserve"> </w:t>
      </w:r>
    </w:p>
    <w:p w14:paraId="4E8F19FA" w14:textId="7368EE71" w:rsidR="00711813" w:rsidRPr="004E5450" w:rsidRDefault="00711813" w:rsidP="00711813">
      <w:pPr>
        <w:jc w:val="both"/>
        <w:rPr>
          <w:rFonts w:ascii="Calibri" w:hAnsi="Calibri" w:cs="Calibri"/>
          <w:sz w:val="20"/>
          <w:szCs w:val="20"/>
          <w:lang w:val="en-AU"/>
        </w:rPr>
      </w:pPr>
      <w:r w:rsidRPr="00444224">
        <w:rPr>
          <w:rFonts w:ascii="Calibri" w:hAnsi="Calibri" w:cs="Calibri"/>
          <w:b/>
          <w:bCs/>
          <w:sz w:val="20"/>
          <w:szCs w:val="20"/>
          <w:lang w:val="en-AU"/>
        </w:rPr>
        <w:t>Introduction.</w:t>
      </w:r>
      <w:r w:rsidRPr="004E5450">
        <w:rPr>
          <w:rFonts w:ascii="Calibri" w:hAnsi="Calibri" w:cs="Calibri"/>
          <w:sz w:val="20"/>
          <w:szCs w:val="20"/>
          <w:lang w:val="en-AU"/>
        </w:rPr>
        <w:t xml:space="preserve"> </w:t>
      </w:r>
      <w:r w:rsidR="004C54BD" w:rsidRPr="004C54BD">
        <w:rPr>
          <w:rFonts w:ascii="Calibri" w:hAnsi="Calibri" w:cs="Calibri"/>
          <w:sz w:val="20"/>
          <w:szCs w:val="20"/>
        </w:rPr>
        <w:t>Dyslipidemia is one of the major risk factors for cardiovascular disease.</w:t>
      </w:r>
      <w:r w:rsidR="0099253D">
        <w:rPr>
          <w:rFonts w:ascii="Calibri" w:hAnsi="Calibri" w:cs="Calibri"/>
          <w:sz w:val="20"/>
          <w:szCs w:val="20"/>
        </w:rPr>
        <w:t xml:space="preserve"> </w:t>
      </w:r>
      <w:r w:rsidR="004C54BD" w:rsidRPr="004C54BD">
        <w:rPr>
          <w:rFonts w:ascii="Calibri" w:hAnsi="Calibri" w:cs="Calibri"/>
          <w:sz w:val="20"/>
          <w:szCs w:val="20"/>
        </w:rPr>
        <w:t xml:space="preserve">Numerous studies have demonstrated that genetic factors play a significant role in the development of dyslipidemia. However, no studies have yet investigated the relationship between the VDR SNP rs10735810 (FokI) and dyslipidemia in Indonesia, particularly among the </w:t>
      </w:r>
      <w:r w:rsidR="004C54BD">
        <w:rPr>
          <w:rFonts w:ascii="Calibri" w:hAnsi="Calibri" w:cs="Calibri"/>
          <w:sz w:val="20"/>
          <w:szCs w:val="20"/>
        </w:rPr>
        <w:t xml:space="preserve">pre-elderly and </w:t>
      </w:r>
      <w:r w:rsidR="004C54BD" w:rsidRPr="004C54BD">
        <w:rPr>
          <w:rFonts w:ascii="Calibri" w:hAnsi="Calibri" w:cs="Calibri"/>
          <w:sz w:val="20"/>
          <w:szCs w:val="20"/>
        </w:rPr>
        <w:t>elderly population.</w:t>
      </w:r>
    </w:p>
    <w:p w14:paraId="62E470D2" w14:textId="53908864" w:rsidR="00711813" w:rsidRPr="004E5450" w:rsidRDefault="001A548D" w:rsidP="00711813">
      <w:pPr>
        <w:jc w:val="both"/>
        <w:rPr>
          <w:rFonts w:ascii="Calibri" w:hAnsi="Calibri" w:cs="Calibri"/>
          <w:sz w:val="20"/>
          <w:szCs w:val="20"/>
          <w:lang w:val="en-AU"/>
        </w:rPr>
      </w:pPr>
      <w:r w:rsidRPr="001A548D">
        <w:rPr>
          <w:rFonts w:ascii="Calibri" w:hAnsi="Calibri" w:cs="Calibri"/>
          <w:b/>
          <w:bCs/>
          <w:sz w:val="20"/>
          <w:szCs w:val="20"/>
          <w:lang w:val="en-AU"/>
        </w:rPr>
        <w:drawing>
          <wp:anchor distT="0" distB="0" distL="114300" distR="114300" simplePos="0" relativeHeight="251658240" behindDoc="0" locked="0" layoutInCell="1" allowOverlap="1" wp14:anchorId="515E8338" wp14:editId="0A257DBD">
            <wp:simplePos x="0" y="0"/>
            <wp:positionH relativeFrom="column">
              <wp:posOffset>2918460</wp:posOffset>
            </wp:positionH>
            <wp:positionV relativeFrom="paragraph">
              <wp:posOffset>182880</wp:posOffset>
            </wp:positionV>
            <wp:extent cx="3176905" cy="984250"/>
            <wp:effectExtent l="0" t="0" r="444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6905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1813" w:rsidRPr="00444224">
        <w:rPr>
          <w:rFonts w:ascii="Calibri" w:hAnsi="Calibri" w:cs="Calibri"/>
          <w:b/>
          <w:bCs/>
          <w:sz w:val="20"/>
          <w:szCs w:val="20"/>
          <w:lang w:val="en-AU"/>
        </w:rPr>
        <w:t>Aims</w:t>
      </w:r>
      <w:r w:rsidR="00711813" w:rsidRPr="004E5450">
        <w:rPr>
          <w:rFonts w:ascii="Calibri" w:hAnsi="Calibri" w:cs="Calibri"/>
          <w:sz w:val="20"/>
          <w:szCs w:val="20"/>
          <w:lang w:val="en-AU"/>
        </w:rPr>
        <w:t xml:space="preserve">. </w:t>
      </w:r>
      <w:r w:rsidR="004C54BD">
        <w:rPr>
          <w:rFonts w:ascii="Calibri" w:hAnsi="Calibri" w:cs="Calibri"/>
          <w:sz w:val="20"/>
          <w:szCs w:val="20"/>
        </w:rPr>
        <w:t>T</w:t>
      </w:r>
      <w:r w:rsidR="004C54BD" w:rsidRPr="004C54BD">
        <w:rPr>
          <w:rFonts w:ascii="Calibri" w:hAnsi="Calibri" w:cs="Calibri"/>
          <w:sz w:val="20"/>
          <w:szCs w:val="20"/>
        </w:rPr>
        <w:t>his study aims to determine the VDR SNP rs10735810 (FokI) gene polymorphism</w:t>
      </w:r>
      <w:r w:rsidR="001C2A54">
        <w:rPr>
          <w:rFonts w:ascii="Calibri" w:hAnsi="Calibri" w:cs="Calibri"/>
          <w:sz w:val="20"/>
          <w:szCs w:val="20"/>
        </w:rPr>
        <w:t xml:space="preserve"> </w:t>
      </w:r>
      <w:r w:rsidR="004C54BD" w:rsidRPr="004C54BD">
        <w:rPr>
          <w:rFonts w:ascii="Calibri" w:hAnsi="Calibri" w:cs="Calibri"/>
          <w:sz w:val="20"/>
          <w:szCs w:val="20"/>
        </w:rPr>
        <w:t xml:space="preserve">association with dyslipidemia in </w:t>
      </w:r>
      <w:r w:rsidR="001C2A54">
        <w:rPr>
          <w:rFonts w:ascii="Calibri" w:hAnsi="Calibri" w:cs="Calibri"/>
          <w:sz w:val="20"/>
          <w:szCs w:val="20"/>
        </w:rPr>
        <w:t>Indonesian pre-</w:t>
      </w:r>
      <w:r w:rsidR="001C2A54" w:rsidRPr="004C54BD">
        <w:rPr>
          <w:rFonts w:ascii="Calibri" w:hAnsi="Calibri" w:cs="Calibri"/>
          <w:sz w:val="20"/>
          <w:szCs w:val="20"/>
        </w:rPr>
        <w:t xml:space="preserve">elderly </w:t>
      </w:r>
      <w:r w:rsidR="001C2A54">
        <w:rPr>
          <w:rFonts w:ascii="Calibri" w:hAnsi="Calibri" w:cs="Calibri"/>
          <w:sz w:val="20"/>
          <w:szCs w:val="20"/>
        </w:rPr>
        <w:t xml:space="preserve">and elderly </w:t>
      </w:r>
      <w:r w:rsidR="001C2A54" w:rsidRPr="004C54BD">
        <w:rPr>
          <w:rFonts w:ascii="Calibri" w:hAnsi="Calibri" w:cs="Calibri"/>
          <w:sz w:val="20"/>
          <w:szCs w:val="20"/>
        </w:rPr>
        <w:t>population</w:t>
      </w:r>
      <w:r w:rsidR="001C2A54">
        <w:rPr>
          <w:rFonts w:ascii="Calibri" w:hAnsi="Calibri" w:cs="Calibri"/>
          <w:sz w:val="20"/>
          <w:szCs w:val="20"/>
        </w:rPr>
        <w:t>.</w:t>
      </w:r>
    </w:p>
    <w:p w14:paraId="70C922CB" w14:textId="12A4B3C0" w:rsidR="00711813" w:rsidRPr="004E5450" w:rsidRDefault="00711813" w:rsidP="00711813">
      <w:pPr>
        <w:jc w:val="both"/>
        <w:rPr>
          <w:rFonts w:ascii="Calibri" w:hAnsi="Calibri" w:cs="Calibri"/>
          <w:sz w:val="20"/>
          <w:szCs w:val="20"/>
          <w:lang w:val="en-AU"/>
        </w:rPr>
      </w:pPr>
      <w:r w:rsidRPr="00444224">
        <w:rPr>
          <w:rFonts w:ascii="Calibri" w:hAnsi="Calibri" w:cs="Calibri"/>
          <w:b/>
          <w:bCs/>
          <w:sz w:val="20"/>
          <w:szCs w:val="20"/>
          <w:lang w:val="en-AU"/>
        </w:rPr>
        <w:t>Methods</w:t>
      </w:r>
      <w:r w:rsidRPr="004E5450">
        <w:rPr>
          <w:rFonts w:ascii="Calibri" w:hAnsi="Calibri" w:cs="Calibri"/>
          <w:sz w:val="20"/>
          <w:szCs w:val="20"/>
          <w:lang w:val="en-AU"/>
        </w:rPr>
        <w:t xml:space="preserve">. </w:t>
      </w:r>
      <w:r w:rsidR="00320D1E" w:rsidRPr="00320D1E">
        <w:rPr>
          <w:rFonts w:ascii="Calibri" w:hAnsi="Calibri" w:cs="Calibri"/>
          <w:sz w:val="20"/>
          <w:szCs w:val="20"/>
        </w:rPr>
        <w:t xml:space="preserve">This study employed a cross-sectional design involving 64 </w:t>
      </w:r>
      <w:r w:rsidR="00A85977">
        <w:rPr>
          <w:rFonts w:ascii="Calibri" w:hAnsi="Calibri" w:cs="Calibri"/>
          <w:sz w:val="20"/>
          <w:szCs w:val="20"/>
        </w:rPr>
        <w:t>pre-elderly and e</w:t>
      </w:r>
      <w:r w:rsidR="00320D1E" w:rsidRPr="00320D1E">
        <w:rPr>
          <w:rFonts w:ascii="Calibri" w:hAnsi="Calibri" w:cs="Calibri"/>
          <w:sz w:val="20"/>
          <w:szCs w:val="20"/>
        </w:rPr>
        <w:t xml:space="preserve">lderly participants. Genotyping of the </w:t>
      </w:r>
      <w:r w:rsidR="00320D1E" w:rsidRPr="004C54BD">
        <w:rPr>
          <w:rFonts w:ascii="Calibri" w:hAnsi="Calibri" w:cs="Calibri"/>
          <w:sz w:val="20"/>
          <w:szCs w:val="20"/>
        </w:rPr>
        <w:t xml:space="preserve">VDR SNP rs10735810 (FokI) </w:t>
      </w:r>
      <w:r w:rsidR="00320D1E" w:rsidRPr="00320D1E">
        <w:rPr>
          <w:rFonts w:ascii="Calibri" w:hAnsi="Calibri" w:cs="Calibri"/>
          <w:sz w:val="20"/>
          <w:szCs w:val="20"/>
        </w:rPr>
        <w:t>gene polymorphism was performed using the polymerase chain reaction-restriction fragment length polymorphism (PCR-RFLP) method. Dyslipidemia was assessed through lipid profile measurements using the Nesco</w:t>
      </w:r>
      <w:r w:rsidR="00320D1E" w:rsidRPr="00320D1E">
        <w:rPr>
          <w:rFonts w:ascii="Calibri" w:hAnsi="Calibri" w:cs="Calibri"/>
          <w:i/>
          <w:iCs/>
          <w:sz w:val="20"/>
          <w:szCs w:val="20"/>
        </w:rPr>
        <w:t>®</w:t>
      </w:r>
      <w:r w:rsidR="00320D1E" w:rsidRPr="00320D1E">
        <w:rPr>
          <w:rFonts w:ascii="Calibri" w:hAnsi="Calibri" w:cs="Calibri"/>
          <w:sz w:val="20"/>
          <w:szCs w:val="20"/>
        </w:rPr>
        <w:t xml:space="preserve"> device. The association between VDR FokI gene polymorphism and dyslipidemia was analyzed using the Fisher’s Exact Test.</w:t>
      </w:r>
    </w:p>
    <w:p w14:paraId="6F48C545" w14:textId="075A9B29" w:rsidR="00711813" w:rsidRPr="00426A20" w:rsidRDefault="00711813" w:rsidP="00711813">
      <w:pPr>
        <w:jc w:val="both"/>
        <w:rPr>
          <w:rFonts w:ascii="Calibri" w:hAnsi="Calibri" w:cs="Calibri"/>
          <w:sz w:val="20"/>
          <w:szCs w:val="20"/>
          <w:lang w:val="en-AU"/>
        </w:rPr>
      </w:pPr>
      <w:r w:rsidRPr="00444224">
        <w:rPr>
          <w:rFonts w:ascii="Calibri" w:hAnsi="Calibri" w:cs="Calibri"/>
          <w:b/>
          <w:bCs/>
          <w:sz w:val="20"/>
          <w:szCs w:val="20"/>
          <w:lang w:val="en-AU"/>
        </w:rPr>
        <w:t>Results.</w:t>
      </w:r>
      <w:r w:rsidRPr="004E5450">
        <w:rPr>
          <w:rFonts w:ascii="Calibri" w:hAnsi="Calibri" w:cs="Calibri"/>
          <w:sz w:val="20"/>
          <w:szCs w:val="20"/>
          <w:lang w:val="en-AU"/>
        </w:rPr>
        <w:t xml:space="preserve"> </w:t>
      </w:r>
      <w:r w:rsidR="00426A20" w:rsidRPr="00426A20">
        <w:rPr>
          <w:rFonts w:ascii="Calibri" w:hAnsi="Calibri" w:cs="Calibri"/>
          <w:sz w:val="20"/>
          <w:szCs w:val="20"/>
        </w:rPr>
        <w:t>Among the 6</w:t>
      </w:r>
      <w:r w:rsidR="00DE0C05">
        <w:rPr>
          <w:rFonts w:ascii="Calibri" w:hAnsi="Calibri" w:cs="Calibri"/>
          <w:sz w:val="20"/>
          <w:szCs w:val="20"/>
        </w:rPr>
        <w:t>3</w:t>
      </w:r>
      <w:r w:rsidR="00426A20" w:rsidRPr="00426A20">
        <w:rPr>
          <w:rFonts w:ascii="Calibri" w:hAnsi="Calibri" w:cs="Calibri"/>
          <w:sz w:val="20"/>
          <w:szCs w:val="20"/>
        </w:rPr>
        <w:t xml:space="preserve"> elderly participants, </w:t>
      </w:r>
      <w:r w:rsidR="00DE0C05">
        <w:rPr>
          <w:rFonts w:ascii="Calibri" w:hAnsi="Calibri" w:cs="Calibri"/>
          <w:sz w:val="20"/>
          <w:szCs w:val="20"/>
        </w:rPr>
        <w:t>37</w:t>
      </w:r>
      <w:r w:rsidR="00426A20" w:rsidRPr="00426A20">
        <w:rPr>
          <w:rFonts w:ascii="Calibri" w:hAnsi="Calibri" w:cs="Calibri"/>
          <w:sz w:val="20"/>
          <w:szCs w:val="20"/>
        </w:rPr>
        <w:t xml:space="preserve"> (</w:t>
      </w:r>
      <w:r w:rsidR="00DE0C05">
        <w:rPr>
          <w:rFonts w:ascii="Calibri" w:hAnsi="Calibri" w:cs="Calibri"/>
          <w:sz w:val="20"/>
          <w:szCs w:val="20"/>
        </w:rPr>
        <w:t>58.8</w:t>
      </w:r>
      <w:r w:rsidR="00426A20" w:rsidRPr="00426A20">
        <w:rPr>
          <w:rFonts w:ascii="Calibri" w:hAnsi="Calibri" w:cs="Calibri"/>
          <w:sz w:val="20"/>
          <w:szCs w:val="20"/>
        </w:rPr>
        <w:t>%) had the Ff genotype, 12 (</w:t>
      </w:r>
      <w:r w:rsidR="00DE0C05">
        <w:rPr>
          <w:rFonts w:ascii="Calibri" w:hAnsi="Calibri" w:cs="Calibri"/>
          <w:sz w:val="20"/>
          <w:szCs w:val="20"/>
        </w:rPr>
        <w:t>19</w:t>
      </w:r>
      <w:r w:rsidR="00426A20" w:rsidRPr="00426A20">
        <w:rPr>
          <w:rFonts w:ascii="Calibri" w:hAnsi="Calibri" w:cs="Calibri"/>
          <w:sz w:val="20"/>
          <w:szCs w:val="20"/>
        </w:rPr>
        <w:t xml:space="preserve">%) had the FF genotype, and </w:t>
      </w:r>
      <w:r w:rsidR="00DE0C05">
        <w:rPr>
          <w:rFonts w:ascii="Calibri" w:hAnsi="Calibri" w:cs="Calibri"/>
          <w:sz w:val="20"/>
          <w:szCs w:val="20"/>
        </w:rPr>
        <w:t xml:space="preserve">14 </w:t>
      </w:r>
      <w:r w:rsidR="00426A20" w:rsidRPr="00426A20">
        <w:rPr>
          <w:rFonts w:ascii="Calibri" w:hAnsi="Calibri" w:cs="Calibri"/>
          <w:sz w:val="20"/>
          <w:szCs w:val="20"/>
        </w:rPr>
        <w:t>(</w:t>
      </w:r>
      <w:r w:rsidR="00DE0C05">
        <w:rPr>
          <w:rFonts w:ascii="Calibri" w:hAnsi="Calibri" w:cs="Calibri"/>
          <w:sz w:val="20"/>
          <w:szCs w:val="20"/>
        </w:rPr>
        <w:t>22.2</w:t>
      </w:r>
      <w:r w:rsidR="00426A20" w:rsidRPr="00426A20">
        <w:rPr>
          <w:rFonts w:ascii="Calibri" w:hAnsi="Calibri" w:cs="Calibri"/>
          <w:sz w:val="20"/>
          <w:szCs w:val="20"/>
        </w:rPr>
        <w:t xml:space="preserve">%) had the ff genotype. The Fisher’s Exact Test revealed a significant association between the </w:t>
      </w:r>
      <w:r w:rsidR="00426A20" w:rsidRPr="004C54BD">
        <w:rPr>
          <w:rFonts w:ascii="Calibri" w:hAnsi="Calibri" w:cs="Calibri"/>
          <w:sz w:val="20"/>
          <w:szCs w:val="20"/>
        </w:rPr>
        <w:t xml:space="preserve">VDR SNP rs10735810 (FokI) </w:t>
      </w:r>
      <w:r w:rsidR="00426A20" w:rsidRPr="00426A20">
        <w:rPr>
          <w:rFonts w:ascii="Calibri" w:hAnsi="Calibri" w:cs="Calibri"/>
          <w:sz w:val="20"/>
          <w:szCs w:val="20"/>
        </w:rPr>
        <w:t>gene polymorphism and dyslipidemia (p = 0.0</w:t>
      </w:r>
      <w:r w:rsidR="00DE0C05">
        <w:rPr>
          <w:rFonts w:ascii="Calibri" w:hAnsi="Calibri" w:cs="Calibri"/>
          <w:sz w:val="20"/>
          <w:szCs w:val="20"/>
        </w:rPr>
        <w:t>3</w:t>
      </w:r>
      <w:r w:rsidR="00426A20" w:rsidRPr="00426A20">
        <w:rPr>
          <w:rFonts w:ascii="Calibri" w:hAnsi="Calibri" w:cs="Calibri"/>
          <w:sz w:val="20"/>
          <w:szCs w:val="20"/>
        </w:rPr>
        <w:t>).</w:t>
      </w:r>
    </w:p>
    <w:p w14:paraId="5535C10C" w14:textId="7D6D0334" w:rsidR="00F97620" w:rsidRDefault="00711813" w:rsidP="00BD4A5B">
      <w:pPr>
        <w:spacing w:after="100" w:afterAutospacing="1"/>
        <w:jc w:val="both"/>
        <w:rPr>
          <w:rFonts w:ascii="Calibri" w:hAnsi="Calibri" w:cs="Calibri"/>
          <w:sz w:val="20"/>
          <w:szCs w:val="20"/>
          <w:lang w:eastAsia="en-ID"/>
        </w:rPr>
      </w:pPr>
      <w:r w:rsidRPr="00444224">
        <w:rPr>
          <w:rFonts w:ascii="Calibri" w:hAnsi="Calibri" w:cs="Calibri"/>
          <w:b/>
          <w:bCs/>
          <w:sz w:val="20"/>
          <w:szCs w:val="20"/>
          <w:lang w:val="en-AU"/>
        </w:rPr>
        <w:t>Discussion.</w:t>
      </w:r>
      <w:r w:rsidRPr="004E5450">
        <w:rPr>
          <w:rFonts w:ascii="Calibri" w:hAnsi="Calibri" w:cs="Calibri"/>
          <w:sz w:val="20"/>
          <w:szCs w:val="20"/>
          <w:lang w:val="en-AU"/>
        </w:rPr>
        <w:t xml:space="preserve"> </w:t>
      </w:r>
      <w:r w:rsidR="00426A20" w:rsidRPr="00426A20">
        <w:rPr>
          <w:rFonts w:ascii="Calibri" w:hAnsi="Calibri" w:cs="Calibri"/>
          <w:sz w:val="20"/>
          <w:szCs w:val="20"/>
        </w:rPr>
        <w:t>This study suggest</w:t>
      </w:r>
      <w:r w:rsidR="00A95023">
        <w:rPr>
          <w:rFonts w:ascii="Calibri" w:hAnsi="Calibri" w:cs="Calibri"/>
          <w:sz w:val="20"/>
          <w:szCs w:val="20"/>
        </w:rPr>
        <w:t>s</w:t>
      </w:r>
      <w:r w:rsidR="00426A20" w:rsidRPr="00426A20">
        <w:rPr>
          <w:rFonts w:ascii="Calibri" w:hAnsi="Calibri" w:cs="Calibri"/>
          <w:sz w:val="20"/>
          <w:szCs w:val="20"/>
        </w:rPr>
        <w:t xml:space="preserve"> that VDR rs10735810 polymorphism may impact dyslipidemia as </w:t>
      </w:r>
      <w:r w:rsidR="00A95023">
        <w:rPr>
          <w:rFonts w:ascii="Calibri" w:hAnsi="Calibri" w:cs="Calibri"/>
          <w:sz w:val="20"/>
          <w:szCs w:val="20"/>
        </w:rPr>
        <w:t xml:space="preserve">a </w:t>
      </w:r>
      <w:r w:rsidR="00426A20" w:rsidRPr="00426A20">
        <w:rPr>
          <w:rFonts w:ascii="Calibri" w:hAnsi="Calibri" w:cs="Calibri"/>
          <w:sz w:val="20"/>
          <w:szCs w:val="20"/>
        </w:rPr>
        <w:t xml:space="preserve">CVD risk </w:t>
      </w:r>
      <w:r w:rsidR="00A95023">
        <w:rPr>
          <w:rFonts w:ascii="Calibri" w:hAnsi="Calibri" w:cs="Calibri"/>
          <w:sz w:val="20"/>
          <w:szCs w:val="20"/>
        </w:rPr>
        <w:t xml:space="preserve">factor </w:t>
      </w:r>
      <w:r w:rsidR="00426A20" w:rsidRPr="00426A20">
        <w:rPr>
          <w:rFonts w:ascii="Calibri" w:hAnsi="Calibri" w:cs="Calibri"/>
          <w:sz w:val="20"/>
          <w:szCs w:val="20"/>
        </w:rPr>
        <w:t xml:space="preserve">through its effects on lipid metabolism. The findings of this study demonstrated that the two most prevalent genotypes of the </w:t>
      </w:r>
      <w:r w:rsidR="00A33E19" w:rsidRPr="004C54BD">
        <w:rPr>
          <w:rFonts w:ascii="Calibri" w:hAnsi="Calibri" w:cs="Calibri"/>
          <w:sz w:val="20"/>
          <w:szCs w:val="20"/>
        </w:rPr>
        <w:t xml:space="preserve">VDR SNP rs10735810 (FokI) </w:t>
      </w:r>
      <w:r w:rsidR="00426A20" w:rsidRPr="00426A20">
        <w:rPr>
          <w:rFonts w:ascii="Calibri" w:hAnsi="Calibri" w:cs="Calibri"/>
          <w:sz w:val="20"/>
          <w:szCs w:val="20"/>
        </w:rPr>
        <w:t>were Ff and FF.</w:t>
      </w:r>
      <w:r w:rsidR="00426A20" w:rsidRPr="00426A20">
        <w:rPr>
          <w:rFonts w:ascii="Calibri" w:hAnsi="Calibri" w:cs="Calibri"/>
          <w:sz w:val="20"/>
          <w:szCs w:val="20"/>
          <w:lang w:eastAsia="en-ID"/>
        </w:rPr>
        <w:t xml:space="preserve"> Theoritically, the f allele (Ff + ff) produces a longer isoform of the VDR protein, resulting in reduced affinity for the vitamin D complex and consequently lower VDR activity compared to the </w:t>
      </w:r>
      <w:r w:rsidR="00426A20" w:rsidRPr="00426A20">
        <w:rPr>
          <w:rFonts w:ascii="Calibri" w:hAnsi="Calibri" w:cs="Calibri"/>
          <w:sz w:val="20"/>
          <w:szCs w:val="20"/>
          <w:lang w:eastAsia="en-ID"/>
        </w:rPr>
        <w:lastRenderedPageBreak/>
        <w:t>FF genotype</w:t>
      </w:r>
      <w:r w:rsidR="0099253D">
        <w:rPr>
          <w:rFonts w:ascii="Calibri" w:hAnsi="Calibri" w:cs="Calibri"/>
          <w:sz w:val="20"/>
          <w:szCs w:val="20"/>
          <w:lang w:eastAsia="en-ID"/>
        </w:rPr>
        <w:t xml:space="preserve"> (</w:t>
      </w:r>
      <w:r w:rsidR="0047319A">
        <w:rPr>
          <w:rFonts w:ascii="Calibri" w:hAnsi="Calibri" w:cs="Calibri"/>
          <w:sz w:val="20"/>
          <w:szCs w:val="20"/>
          <w:lang w:eastAsia="en-ID"/>
        </w:rPr>
        <w:t>Meza et al, 202</w:t>
      </w:r>
      <w:r w:rsidR="00C46FA3">
        <w:rPr>
          <w:rFonts w:ascii="Calibri" w:hAnsi="Calibri" w:cs="Calibri"/>
          <w:sz w:val="20"/>
          <w:szCs w:val="20"/>
          <w:lang w:eastAsia="en-ID"/>
        </w:rPr>
        <w:t>2</w:t>
      </w:r>
      <w:r w:rsidR="0047319A">
        <w:rPr>
          <w:rFonts w:ascii="Calibri" w:hAnsi="Calibri" w:cs="Calibri"/>
          <w:sz w:val="20"/>
          <w:szCs w:val="20"/>
          <w:lang w:eastAsia="en-ID"/>
        </w:rPr>
        <w:t>)</w:t>
      </w:r>
      <w:r w:rsidR="00426A20" w:rsidRPr="00426A20">
        <w:rPr>
          <w:rFonts w:ascii="Calibri" w:hAnsi="Calibri" w:cs="Calibri"/>
          <w:sz w:val="20"/>
          <w:szCs w:val="20"/>
          <w:lang w:eastAsia="en-ID"/>
        </w:rPr>
        <w:t xml:space="preserve">. Vitamin D plays a pivotal role in lipid metabolism through its </w:t>
      </w:r>
      <w:r w:rsidR="00426A20" w:rsidRPr="0062445B">
        <w:rPr>
          <w:rFonts w:ascii="Calibri" w:hAnsi="Calibri" w:cs="Calibri"/>
          <w:sz w:val="20"/>
          <w:szCs w:val="20"/>
          <w:lang w:eastAsia="en-ID"/>
        </w:rPr>
        <w:t>interaction with VDR, regulating several key molecular pathways. VDR activation modulates the expression of ABCA1, which is critical for reverse cholesterol transport, as well as transcription factor SREBP-1, both of which promote lipid synthesis</w:t>
      </w:r>
      <w:r w:rsidR="00135085">
        <w:rPr>
          <w:rFonts w:ascii="Calibri" w:hAnsi="Calibri" w:cs="Calibri"/>
          <w:sz w:val="20"/>
          <w:szCs w:val="20"/>
          <w:lang w:eastAsia="en-ID"/>
        </w:rPr>
        <w:t xml:space="preserve"> (</w:t>
      </w:r>
      <w:r w:rsidR="00AA5AB8" w:rsidRPr="0023766C">
        <w:rPr>
          <w:rFonts w:ascii="Calibri" w:hAnsi="Calibri" w:cs="Calibri"/>
          <w:sz w:val="20"/>
          <w:szCs w:val="20"/>
          <w:lang w:eastAsia="en-ID"/>
        </w:rPr>
        <w:t>Shokri et al, 2024)</w:t>
      </w:r>
      <w:r w:rsidR="00426A20" w:rsidRPr="0023766C">
        <w:rPr>
          <w:rFonts w:ascii="Calibri" w:hAnsi="Calibri" w:cs="Calibri"/>
          <w:sz w:val="20"/>
          <w:szCs w:val="20"/>
          <w:lang w:eastAsia="en-ID"/>
        </w:rPr>
        <w:t>. Additionally, VDR influences the activity of NF-κB and cytokine IL-6 in inflammatory signaling, which</w:t>
      </w:r>
      <w:r w:rsidR="0062445B" w:rsidRPr="0023766C">
        <w:rPr>
          <w:rFonts w:ascii="Calibri" w:hAnsi="Calibri" w:cs="Calibri"/>
          <w:sz w:val="20"/>
          <w:szCs w:val="20"/>
          <w:lang w:eastAsia="en-ID"/>
        </w:rPr>
        <w:t xml:space="preserve"> </w:t>
      </w:r>
      <w:r w:rsidR="0062445B" w:rsidRPr="0023766C">
        <w:rPr>
          <w:rFonts w:ascii="Calibri" w:hAnsi="Calibri" w:cs="Calibri"/>
          <w:sz w:val="20"/>
          <w:szCs w:val="20"/>
        </w:rPr>
        <w:t>plays a role in regulating cholesterol, fatty acid homeostasis, and lipogenesis</w:t>
      </w:r>
      <w:r w:rsidR="006F688C" w:rsidRPr="0023766C">
        <w:rPr>
          <w:rFonts w:ascii="Calibri" w:hAnsi="Calibri" w:cs="Calibri"/>
          <w:sz w:val="20"/>
          <w:szCs w:val="20"/>
        </w:rPr>
        <w:t xml:space="preserve"> (Fenercioglu, 2024)</w:t>
      </w:r>
      <w:r w:rsidR="00426A20" w:rsidRPr="0023766C">
        <w:rPr>
          <w:rFonts w:ascii="Calibri" w:hAnsi="Calibri" w:cs="Calibri"/>
          <w:sz w:val="20"/>
          <w:szCs w:val="20"/>
          <w:lang w:eastAsia="en-ID"/>
        </w:rPr>
        <w:t>. Reduced VDR activity, as observed with the f allele, enhances SREBP-1 expression, leading to increased hepatic triglyceride and VLDL production. Concurrently, downregulation of ABCA1 impairs cholesterol clearance, while diminished inhibition of NF-κB and elevated IL-6 expression exacerbate systemic inflammation</w:t>
      </w:r>
      <w:r w:rsidR="00DE0C05">
        <w:rPr>
          <w:rFonts w:ascii="Calibri" w:hAnsi="Calibri" w:cs="Calibri"/>
          <w:sz w:val="20"/>
          <w:szCs w:val="20"/>
          <w:lang w:eastAsia="en-ID"/>
        </w:rPr>
        <w:t xml:space="preserve"> </w:t>
      </w:r>
      <w:r w:rsidR="0023766C" w:rsidRPr="0023766C">
        <w:rPr>
          <w:rFonts w:ascii="Calibri" w:hAnsi="Calibri" w:cs="Calibri"/>
          <w:sz w:val="20"/>
          <w:szCs w:val="20"/>
          <w:lang w:eastAsia="en-ID"/>
        </w:rPr>
        <w:t>(</w:t>
      </w:r>
      <w:r w:rsidR="0023766C" w:rsidRPr="0023766C">
        <w:rPr>
          <w:rFonts w:ascii="Calibri" w:hAnsi="Calibri" w:cs="Calibri"/>
          <w:color w:val="222222"/>
          <w:sz w:val="20"/>
          <w:szCs w:val="20"/>
          <w:shd w:val="clear" w:color="auto" w:fill="FFFFFF"/>
        </w:rPr>
        <w:t>Aggeletopoulou et al, 2024)</w:t>
      </w:r>
      <w:r w:rsidR="00426A20" w:rsidRPr="0023766C">
        <w:rPr>
          <w:rFonts w:ascii="Calibri" w:hAnsi="Calibri" w:cs="Calibri"/>
          <w:sz w:val="20"/>
          <w:szCs w:val="20"/>
          <w:lang w:eastAsia="en-ID"/>
        </w:rPr>
        <w:t>.</w:t>
      </w:r>
      <w:r w:rsidR="00426A20" w:rsidRPr="00426A20">
        <w:rPr>
          <w:rFonts w:ascii="Calibri" w:hAnsi="Calibri" w:cs="Calibri"/>
          <w:sz w:val="20"/>
          <w:szCs w:val="20"/>
          <w:lang w:eastAsia="en-ID"/>
        </w:rPr>
        <w:t xml:space="preserve"> Collectively, these molecular alterations provide a plausible mechanistic explanation for the observed association between the VDR FokI polymorphism and dyslipidemia.</w:t>
      </w:r>
    </w:p>
    <w:p w14:paraId="6F3B40D6" w14:textId="12F7B07B" w:rsidR="0049186F" w:rsidRPr="0049186F" w:rsidRDefault="0049186F" w:rsidP="0023766C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Zheng et al (2017) </w:t>
      </w:r>
      <w:r w:rsidRPr="0049186F">
        <w:rPr>
          <w:rFonts w:ascii="Calibri" w:hAnsi="Calibri" w:cs="Calibri"/>
          <w:sz w:val="20"/>
          <w:szCs w:val="20"/>
        </w:rPr>
        <w:t>Clin Interv Aging 12:1673-1679</w:t>
      </w:r>
    </w:p>
    <w:p w14:paraId="792C078A" w14:textId="4F183878" w:rsidR="00AA5AB8" w:rsidRPr="0023766C" w:rsidRDefault="00AA5AB8" w:rsidP="0023766C">
      <w:pPr>
        <w:rPr>
          <w:rFonts w:ascii="Calibri" w:hAnsi="Calibri" w:cs="Calibri"/>
          <w:sz w:val="20"/>
          <w:szCs w:val="20"/>
        </w:rPr>
      </w:pPr>
      <w:r w:rsidRPr="0023766C">
        <w:rPr>
          <w:rFonts w:ascii="Calibri" w:hAnsi="Calibri" w:cs="Calibri"/>
          <w:sz w:val="20"/>
          <w:szCs w:val="20"/>
        </w:rPr>
        <w:t>Meza et al (2022)</w:t>
      </w:r>
      <w:r w:rsidR="00677B89" w:rsidRPr="0023766C">
        <w:rPr>
          <w:rFonts w:ascii="Calibri" w:hAnsi="Calibri" w:cs="Calibri"/>
          <w:sz w:val="20"/>
          <w:szCs w:val="20"/>
        </w:rPr>
        <w:t xml:space="preserve"> Genes 2022 13:1-20</w:t>
      </w:r>
    </w:p>
    <w:p w14:paraId="3DFFBF26" w14:textId="3C401E68" w:rsidR="00AA5AB8" w:rsidRPr="0023766C" w:rsidRDefault="00AA5AB8" w:rsidP="0023766C">
      <w:pPr>
        <w:rPr>
          <w:rFonts w:ascii="Calibri" w:hAnsi="Calibri" w:cs="Calibri"/>
          <w:sz w:val="20"/>
          <w:szCs w:val="20"/>
        </w:rPr>
      </w:pPr>
      <w:r w:rsidRPr="0023766C">
        <w:rPr>
          <w:rFonts w:ascii="Calibri" w:hAnsi="Calibri" w:cs="Calibri"/>
          <w:sz w:val="20"/>
          <w:szCs w:val="20"/>
        </w:rPr>
        <w:t>Shokri et al (2024)</w:t>
      </w:r>
      <w:r w:rsidR="00677B89" w:rsidRPr="0023766C">
        <w:rPr>
          <w:rFonts w:ascii="Calibri" w:hAnsi="Calibri" w:cs="Calibri"/>
          <w:sz w:val="20"/>
          <w:szCs w:val="20"/>
        </w:rPr>
        <w:t xml:space="preserve"> Lipids Health Dis 23:362 </w:t>
      </w:r>
    </w:p>
    <w:p w14:paraId="02DB4B95" w14:textId="27B4AB1A" w:rsidR="006F688C" w:rsidRPr="0023766C" w:rsidRDefault="006F688C" w:rsidP="0023766C">
      <w:pPr>
        <w:rPr>
          <w:rFonts w:ascii="Calibri" w:hAnsi="Calibri" w:cs="Calibri"/>
          <w:sz w:val="20"/>
          <w:szCs w:val="20"/>
        </w:rPr>
      </w:pPr>
      <w:r w:rsidRPr="0023766C">
        <w:rPr>
          <w:rFonts w:ascii="Calibri" w:hAnsi="Calibri" w:cs="Calibri"/>
          <w:sz w:val="20"/>
          <w:szCs w:val="20"/>
        </w:rPr>
        <w:t xml:space="preserve">Fenercioglu (2024) </w:t>
      </w:r>
      <w:r w:rsidR="0023766C" w:rsidRPr="0023766C">
        <w:rPr>
          <w:rFonts w:ascii="Calibri" w:hAnsi="Calibri" w:cs="Calibri"/>
          <w:sz w:val="20"/>
          <w:szCs w:val="20"/>
        </w:rPr>
        <w:t xml:space="preserve">Curr Issues Mol Biol </w:t>
      </w:r>
      <w:r w:rsidR="0049186F">
        <w:rPr>
          <w:rFonts w:ascii="Calibri" w:hAnsi="Calibri" w:cs="Calibri"/>
          <w:sz w:val="20"/>
          <w:szCs w:val="20"/>
        </w:rPr>
        <w:t>4</w:t>
      </w:r>
      <w:r w:rsidR="0023766C" w:rsidRPr="0023766C">
        <w:rPr>
          <w:rFonts w:ascii="Calibri" w:hAnsi="Calibri" w:cs="Calibri"/>
          <w:sz w:val="20"/>
          <w:szCs w:val="20"/>
        </w:rPr>
        <w:t>6:12</w:t>
      </w:r>
    </w:p>
    <w:p w14:paraId="00A4DAAF" w14:textId="5E84D46B" w:rsidR="0023766C" w:rsidRPr="0023766C" w:rsidRDefault="0023766C" w:rsidP="0023766C">
      <w:pPr>
        <w:rPr>
          <w:rFonts w:ascii="Calibri" w:hAnsi="Calibri" w:cs="Calibri"/>
          <w:sz w:val="20"/>
          <w:szCs w:val="20"/>
        </w:rPr>
      </w:pPr>
      <w:r w:rsidRPr="0023766C">
        <w:rPr>
          <w:rFonts w:ascii="Calibri" w:hAnsi="Calibri" w:cs="Calibri"/>
          <w:sz w:val="20"/>
          <w:szCs w:val="20"/>
        </w:rPr>
        <w:t xml:space="preserve">Aggeletopoulou et al (2024) </w:t>
      </w:r>
      <w:r w:rsidRPr="0023766C">
        <w:rPr>
          <w:rFonts w:ascii="Calibri" w:eastAsia="PMingLiU" w:hAnsi="Calibri" w:cs="Calibri"/>
          <w:sz w:val="20"/>
          <w:szCs w:val="20"/>
        </w:rPr>
        <w:t>International Journal of Molecular Sciences 25:4901</w:t>
      </w:r>
    </w:p>
    <w:p w14:paraId="0B0176FA" w14:textId="77777777" w:rsidR="0023766C" w:rsidRDefault="0023766C" w:rsidP="00856617">
      <w:pPr>
        <w:spacing w:before="100" w:beforeAutospacing="1" w:after="100" w:afterAutospacing="1"/>
        <w:jc w:val="both"/>
        <w:rPr>
          <w:rFonts w:ascii="Calibri" w:hAnsi="Calibri" w:cs="Calibri"/>
          <w:sz w:val="20"/>
          <w:szCs w:val="20"/>
        </w:rPr>
      </w:pPr>
    </w:p>
    <w:p w14:paraId="71C861D8" w14:textId="77777777" w:rsidR="00677B89" w:rsidRPr="00677B89" w:rsidRDefault="00677B89" w:rsidP="00856617">
      <w:pPr>
        <w:spacing w:before="100" w:beforeAutospacing="1" w:after="100" w:afterAutospacing="1"/>
        <w:jc w:val="both"/>
        <w:rPr>
          <w:rFonts w:ascii="Calibri" w:hAnsi="Calibri" w:cs="Calibri"/>
          <w:sz w:val="20"/>
          <w:szCs w:val="20"/>
        </w:rPr>
      </w:pPr>
    </w:p>
    <w:p w14:paraId="010A2A39" w14:textId="77777777" w:rsidR="00AA5AB8" w:rsidRPr="00856617" w:rsidRDefault="00AA5AB8" w:rsidP="00856617">
      <w:pPr>
        <w:spacing w:before="100" w:beforeAutospacing="1" w:after="100" w:afterAutospacing="1"/>
        <w:jc w:val="both"/>
        <w:rPr>
          <w:rFonts w:ascii="Calibri" w:hAnsi="Calibri" w:cs="Calibri"/>
          <w:sz w:val="20"/>
          <w:szCs w:val="20"/>
          <w:lang w:eastAsia="en-ID"/>
        </w:rPr>
      </w:pPr>
    </w:p>
    <w:sectPr w:rsidR="00AA5AB8" w:rsidRPr="00856617" w:rsidSect="005D1700">
      <w:pgSz w:w="11906" w:h="8391" w:orient="landscape" w:code="11"/>
      <w:pgMar w:top="851" w:right="1134" w:bottom="851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57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6BB"/>
    <w:rsid w:val="000708B3"/>
    <w:rsid w:val="000A4FA6"/>
    <w:rsid w:val="000F08D7"/>
    <w:rsid w:val="00135085"/>
    <w:rsid w:val="001A548D"/>
    <w:rsid w:val="001B2C10"/>
    <w:rsid w:val="001C2A54"/>
    <w:rsid w:val="002226BB"/>
    <w:rsid w:val="00226CB3"/>
    <w:rsid w:val="002272B0"/>
    <w:rsid w:val="0023766C"/>
    <w:rsid w:val="002B0D2C"/>
    <w:rsid w:val="00300B92"/>
    <w:rsid w:val="00320D1E"/>
    <w:rsid w:val="003238D9"/>
    <w:rsid w:val="00387491"/>
    <w:rsid w:val="00426A20"/>
    <w:rsid w:val="00444224"/>
    <w:rsid w:val="0047319A"/>
    <w:rsid w:val="00483B05"/>
    <w:rsid w:val="0049186F"/>
    <w:rsid w:val="004C54BD"/>
    <w:rsid w:val="004E28B9"/>
    <w:rsid w:val="004E50FC"/>
    <w:rsid w:val="004E5450"/>
    <w:rsid w:val="0059609A"/>
    <w:rsid w:val="00597659"/>
    <w:rsid w:val="005D1700"/>
    <w:rsid w:val="005E48A2"/>
    <w:rsid w:val="005E62BE"/>
    <w:rsid w:val="0062445B"/>
    <w:rsid w:val="00677B89"/>
    <w:rsid w:val="006F688C"/>
    <w:rsid w:val="00711813"/>
    <w:rsid w:val="00724E3C"/>
    <w:rsid w:val="00737AE4"/>
    <w:rsid w:val="00743C46"/>
    <w:rsid w:val="00760B17"/>
    <w:rsid w:val="00771246"/>
    <w:rsid w:val="00856617"/>
    <w:rsid w:val="00885303"/>
    <w:rsid w:val="008909C9"/>
    <w:rsid w:val="00911DC9"/>
    <w:rsid w:val="009464D4"/>
    <w:rsid w:val="00947B77"/>
    <w:rsid w:val="0099253D"/>
    <w:rsid w:val="009E2228"/>
    <w:rsid w:val="009F06D6"/>
    <w:rsid w:val="00A004EA"/>
    <w:rsid w:val="00A266B4"/>
    <w:rsid w:val="00A33E19"/>
    <w:rsid w:val="00A71DEF"/>
    <w:rsid w:val="00A85977"/>
    <w:rsid w:val="00A95023"/>
    <w:rsid w:val="00AA5AB8"/>
    <w:rsid w:val="00AE2DA6"/>
    <w:rsid w:val="00AE696C"/>
    <w:rsid w:val="00BC5FCC"/>
    <w:rsid w:val="00BD4A5B"/>
    <w:rsid w:val="00C132EC"/>
    <w:rsid w:val="00C46FA3"/>
    <w:rsid w:val="00C60A71"/>
    <w:rsid w:val="00D12465"/>
    <w:rsid w:val="00D4506B"/>
    <w:rsid w:val="00D55F3B"/>
    <w:rsid w:val="00D754E9"/>
    <w:rsid w:val="00D927A8"/>
    <w:rsid w:val="00D95948"/>
    <w:rsid w:val="00DA2731"/>
    <w:rsid w:val="00DD4DD5"/>
    <w:rsid w:val="00DE0C05"/>
    <w:rsid w:val="00E27753"/>
    <w:rsid w:val="00E50269"/>
    <w:rsid w:val="00EB1E51"/>
    <w:rsid w:val="00EF12F3"/>
    <w:rsid w:val="00F02477"/>
    <w:rsid w:val="00F672A1"/>
    <w:rsid w:val="00F90F73"/>
    <w:rsid w:val="00F9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B97987"/>
  <w15:chartTrackingRefBased/>
  <w15:docId w15:val="{BF5BE78F-814A-2F4C-B5DE-E316862BF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I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  <w:szCs w:val="20"/>
    </w:rPr>
  </w:style>
  <w:style w:type="paragraph" w:styleId="Heading3">
    <w:name w:val="heading 3"/>
    <w:basedOn w:val="Normal"/>
    <w:next w:val="Normal"/>
    <w:qFormat/>
    <w:pPr>
      <w:keepNext/>
      <w:spacing w:before="120" w:after="60"/>
      <w:jc w:val="center"/>
      <w:outlineLvl w:val="2"/>
    </w:pPr>
    <w:rPr>
      <w:b/>
      <w:caps/>
      <w:szCs w:val="20"/>
    </w:rPr>
  </w:style>
  <w:style w:type="paragraph" w:styleId="Heading5">
    <w:name w:val="heading 5"/>
    <w:basedOn w:val="Normal"/>
    <w:next w:val="Normal"/>
    <w:link w:val="Heading5Char"/>
    <w:uiPriority w:val="9"/>
    <w:qFormat/>
    <w:rsid w:val="00420F72"/>
    <w:pPr>
      <w:spacing w:before="240" w:after="60"/>
      <w:outlineLvl w:val="4"/>
    </w:pPr>
    <w:rPr>
      <w:rFonts w:ascii="Calibri" w:eastAsia="PMingLiU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semiHidden/>
    <w:pPr>
      <w:spacing w:before="120" w:after="120"/>
      <w:ind w:left="-90"/>
      <w:jc w:val="center"/>
    </w:pPr>
    <w:rPr>
      <w:rFonts w:ascii="Times" w:hAnsi="Times"/>
      <w:szCs w:val="20"/>
    </w:rPr>
  </w:style>
  <w:style w:type="character" w:customStyle="1" w:styleId="Heading5Char">
    <w:name w:val="Heading 5 Char"/>
    <w:link w:val="Heading5"/>
    <w:uiPriority w:val="9"/>
    <w:semiHidden/>
    <w:rsid w:val="00420F72"/>
    <w:rPr>
      <w:rFonts w:ascii="Calibri" w:eastAsia="PMingLiU" w:hAnsi="Calibri" w:cs="Times New Roman"/>
      <w:b/>
      <w:bCs/>
      <w:i/>
      <w:iCs/>
      <w:sz w:val="26"/>
      <w:szCs w:val="26"/>
      <w:lang w:eastAsia="en-US"/>
    </w:rPr>
  </w:style>
  <w:style w:type="paragraph" w:customStyle="1" w:styleId="Default">
    <w:name w:val="Default"/>
    <w:rsid w:val="00D44795"/>
    <w:pPr>
      <w:widowControl w:val="0"/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6B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26B31"/>
    <w:rPr>
      <w:rFonts w:ascii="Tahoma" w:hAnsi="Tahoma" w:cs="Tahoma"/>
      <w:sz w:val="16"/>
      <w:szCs w:val="16"/>
      <w:lang w:val="en-US" w:eastAsia="en-US"/>
    </w:rPr>
  </w:style>
  <w:style w:type="character" w:styleId="Strong">
    <w:name w:val="Strong"/>
    <w:uiPriority w:val="22"/>
    <w:qFormat/>
    <w:rsid w:val="00743C46"/>
    <w:rPr>
      <w:b/>
      <w:bCs/>
    </w:rPr>
  </w:style>
  <w:style w:type="character" w:styleId="Hyperlink">
    <w:name w:val="Hyperlink"/>
    <w:uiPriority w:val="99"/>
    <w:unhideWhenUsed/>
    <w:rsid w:val="00F90F73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F90F73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2376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4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C054142C5B5D4B8C99E9FB10779CAB" ma:contentTypeVersion="18" ma:contentTypeDescription="Create a new document." ma:contentTypeScope="" ma:versionID="82fa6b8bbe5aa1e5a147898ce11eee45">
  <xsd:schema xmlns:xsd="http://www.w3.org/2001/XMLSchema" xmlns:xs="http://www.w3.org/2001/XMLSchema" xmlns:p="http://schemas.microsoft.com/office/2006/metadata/properties" xmlns:ns2="4a84e3ec-4587-4418-b23a-bd5009477010" xmlns:ns3="79faf93c-7b46-4b26-8966-6d698e8b4062" targetNamespace="http://schemas.microsoft.com/office/2006/metadata/properties" ma:root="true" ma:fieldsID="4aa8403be6c3a7d49ea4b008b126b62c" ns2:_="" ns3:_="">
    <xsd:import namespace="4a84e3ec-4587-4418-b23a-bd5009477010"/>
    <xsd:import namespace="79faf93c-7b46-4b26-8966-6d698e8b40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84e3ec-4587-4418-b23a-bd50094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2d0f5a8-1cae-497c-8626-323dd4f94b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faf93c-7b46-4b26-8966-6d698e8b40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2c48bb7-3aca-46f5-8d8e-a282f3998c12}" ma:internalName="TaxCatchAll" ma:showField="CatchAllData" ma:web="79faf93c-7b46-4b26-8966-6d698e8b40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0710B7-8A32-4B22-BA04-55FF9343FD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69B453-C66C-4EB3-931C-5BBA9ADE17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84e3ec-4587-4418-b23a-bd5009477010"/>
    <ds:schemaRef ds:uri="79faf93c-7b46-4b26-8966-6d698e8b40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Submission Format for ConnectED 2007</vt:lpstr>
    </vt:vector>
  </TitlesOfParts>
  <Company>clems</Company>
  <LinksUpToDate>false</LinksUpToDate>
  <CharactersWithSpaces>3666</CharactersWithSpaces>
  <SharedDoc>false</SharedDoc>
  <HLinks>
    <vt:vector size="6" baseType="variant">
      <vt:variant>
        <vt:i4>6946820</vt:i4>
      </vt:variant>
      <vt:variant>
        <vt:i4>0</vt:i4>
      </vt:variant>
      <vt:variant>
        <vt:i4>0</vt:i4>
      </vt:variant>
      <vt:variant>
        <vt:i4>5</vt:i4>
      </vt:variant>
      <vt:variant>
        <vt:lpwstr>mailto:wcp2026@expertevents.com.au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Submission Format for ConnectED 2007</dc:title>
  <dc:subject/>
  <dc:creator>gillard</dc:creator>
  <cp:keywords/>
  <cp:lastModifiedBy>NICHOLAS FRANCISCO GAVERIO 202206000133</cp:lastModifiedBy>
  <cp:revision>33</cp:revision>
  <cp:lastPrinted>2013-06-13T08:15:00Z</cp:lastPrinted>
  <dcterms:created xsi:type="dcterms:W3CDTF">2025-09-06T15:54:00Z</dcterms:created>
  <dcterms:modified xsi:type="dcterms:W3CDTF">2026-01-30T09:42:00Z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</Properties>
</file>