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67E1" w14:textId="77777777" w:rsidR="00C33DBE" w:rsidRDefault="00000000">
      <w:pPr>
        <w:jc w:val="center"/>
      </w:pPr>
      <w:r>
        <w:rPr>
          <w:b/>
        </w:rPr>
        <w:t>Quality of Life and Treatment Satisfaction Among Type 2 Diabetes Patients</w:t>
      </w:r>
    </w:p>
    <w:p w14:paraId="5F7FEA4B" w14:textId="2574FC87" w:rsidR="00C33DBE" w:rsidRDefault="00000000">
      <w:pPr>
        <w:jc w:val="center"/>
      </w:pPr>
      <w:r>
        <w:t>Khushboo Bisht¹</w:t>
      </w:r>
      <w:r w:rsidR="00367B84" w:rsidRPr="00367B84">
        <w:rPr>
          <w:vertAlign w:val="superscript"/>
        </w:rPr>
        <w:t>,</w:t>
      </w:r>
      <w:proofErr w:type="gramStart"/>
      <w:r w:rsidR="00367B84" w:rsidRPr="00367B84">
        <w:rPr>
          <w:vertAlign w:val="superscript"/>
        </w:rPr>
        <w:t>2</w:t>
      </w:r>
      <w:r>
        <w:t xml:space="preserve"> </w:t>
      </w:r>
      <w:r w:rsidR="00367B84">
        <w:t>,</w:t>
      </w:r>
      <w:proofErr w:type="gramEnd"/>
      <w:r w:rsidR="00367B84">
        <w:t xml:space="preserve"> Khan Sabiya</w:t>
      </w:r>
      <w:proofErr w:type="gramStart"/>
      <w:r w:rsidR="00367B84">
        <w:t>¹</w:t>
      </w:r>
      <w:r w:rsidR="00367B84">
        <w:t xml:space="preserve"> ,</w:t>
      </w:r>
      <w:proofErr w:type="gramEnd"/>
      <w:r w:rsidR="00367B84">
        <w:t xml:space="preserve"> Handu Shailendra</w:t>
      </w:r>
      <w:r w:rsidR="00367B84">
        <w:t>¹</w:t>
      </w:r>
      <w:r w:rsidR="00367B84">
        <w:t>, Ravikant</w:t>
      </w:r>
      <w:r w:rsidR="00367B84" w:rsidRPr="00367B84">
        <w:rPr>
          <w:vertAlign w:val="superscript"/>
        </w:rPr>
        <w:t>3</w:t>
      </w:r>
      <w:r w:rsidR="00367B84">
        <w:t>, Dhamija Puneet</w:t>
      </w:r>
      <w:r w:rsidR="00367B84">
        <w:t>¹</w:t>
      </w:r>
      <w:r>
        <w:br/>
        <w:t xml:space="preserve">¹Department of Pharmacology, AIIMS </w:t>
      </w:r>
      <w:r w:rsidR="00367B84">
        <w:t xml:space="preserve">Rishikesh; </w:t>
      </w:r>
      <w:r w:rsidR="00367B84" w:rsidRPr="00367B84">
        <w:rPr>
          <w:vertAlign w:val="superscript"/>
        </w:rPr>
        <w:t>2</w:t>
      </w:r>
      <w:r w:rsidR="00367B84">
        <w:t xml:space="preserve"> Department of Pharmacolog</w:t>
      </w:r>
      <w:r w:rsidR="00367B84">
        <w:t xml:space="preserve">y, AIIMS, </w:t>
      </w:r>
      <w:r>
        <w:t>Nagpur</w:t>
      </w:r>
      <w:r w:rsidR="00367B84">
        <w:t xml:space="preserve">; </w:t>
      </w:r>
      <w:r w:rsidR="00367B84">
        <w:rPr>
          <w:vertAlign w:val="superscript"/>
        </w:rPr>
        <w:t>3</w:t>
      </w:r>
      <w:r w:rsidR="00367B84">
        <w:t xml:space="preserve"> </w:t>
      </w:r>
      <w:r w:rsidR="00367B84">
        <w:t>Department of General Medicine, AIIMS Rishikesh</w:t>
      </w:r>
    </w:p>
    <w:p w14:paraId="494C2AFE" w14:textId="77777777" w:rsidR="00C33DBE" w:rsidRDefault="00000000">
      <w:pPr>
        <w:spacing w:line="240" w:lineRule="auto"/>
        <w:jc w:val="both"/>
      </w:pPr>
      <w:r>
        <w:t>Introduction. Type 2 Diabetes Mellitus (T2DM) is a chronic metabolic condition with significant psychosocial impact. Patient-reported outcomes such as the Audit of Diabetes-Dependent Quality of Life (ADDQoL) and the Diabetes Treatment Satisfaction Questionnaire (DTSQ) provide valuable insight into the burden of diabetes and satisfaction with therapy.</w:t>
      </w:r>
    </w:p>
    <w:p w14:paraId="0A1A33C2" w14:textId="77777777" w:rsidR="00C33DBE" w:rsidRDefault="00000000">
      <w:pPr>
        <w:spacing w:line="240" w:lineRule="auto"/>
        <w:jc w:val="both"/>
      </w:pPr>
      <w:r>
        <w:t>Aims. To assess diabetes-specific quality of life (QoL) and treatment satisfaction in patients with T2DM and explore their association with clinical variables.</w:t>
      </w:r>
    </w:p>
    <w:p w14:paraId="2A405904" w14:textId="77777777" w:rsidR="00C33DBE" w:rsidRDefault="00000000">
      <w:pPr>
        <w:spacing w:line="240" w:lineRule="auto"/>
        <w:jc w:val="both"/>
      </w:pPr>
      <w:r>
        <w:t>Methods. A cross-sectional observational study was conducted in the endocrinology outpatient department of a tertiary care teaching hospital. Adults (≥18 years) with T2DM for ≥6 months were enrolled (n = 120). Sociodemographic data, diabetes duration, and HbA1c were recorded. Participants completed the ADDQoL and DTSQ questionnaires. Weighted impact scores (WIS) and treatment satisfaction scores (TSS) were computed. Associations between scores and clinical variables were analyzed using t-test/ANOVA and Pearson correlation.</w:t>
      </w:r>
    </w:p>
    <w:p w14:paraId="01A3C97F" w14:textId="77777777" w:rsidR="00C33DBE" w:rsidRDefault="00000000">
      <w:pPr>
        <w:spacing w:line="240" w:lineRule="auto"/>
        <w:jc w:val="both"/>
      </w:pPr>
      <w:r>
        <w:t>Results. Of 120 participants, 65 (54.2%) were male; mean age was 54.7 ± 9.3 years, mean diabetes duration 8.2 ± 5.6 years, and mean HbA1c 8.1 ± 1.2%. Mean ADDQoL average weighted impact score (AWI) was −2.1 ± 1.0, indicating a moderate negative impact. The most affected domains were freedom to eat (−3.1 ± 1.2), physical activity (−2.8 ± 1.3), and future health (−2.7 ± 1.1). Mean DTSQ treatment satisfaction score was 28.3 ± 4.5 (range 0–36). Participants reporting frequent hyperglycemia had significantly lower TSS (26.1 ± 4.3 vs 29.5 ± 3.9, p = 0.01). AWI negatively correlated with HbA1c (r = −0.34, p &lt; 0.001).</w:t>
      </w:r>
    </w:p>
    <w:p w14:paraId="0375B4DA" w14:textId="77777777" w:rsidR="00C33DBE" w:rsidRDefault="00000000">
      <w:pPr>
        <w:spacing w:line="240" w:lineRule="auto"/>
        <w:jc w:val="both"/>
      </w:pPr>
      <w:r>
        <w:t>Discussion. T2DM moderately impairs quality of life despite high treatment satisfaction. Dietary restrictions, physical activity limitations, and concerns about future health were the most affected domains. Integration of patient-reported outcomes in routine practice can help identify individuals requiring additional psychosocial and therapeutic support.</w:t>
      </w:r>
    </w:p>
    <w:p w14:paraId="55A7CD03" w14:textId="77777777" w:rsidR="00C33DBE" w:rsidRDefault="00000000">
      <w:r>
        <w:rPr>
          <w:noProof/>
        </w:rPr>
        <w:lastRenderedPageBreak/>
        <w:drawing>
          <wp:inline distT="0" distB="0" distL="0" distR="0" wp14:anchorId="2170CBCF" wp14:editId="7F478502">
            <wp:extent cx="41148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2DM_ADDQoL_DTSQ_Flowchart.png"/>
                    <pic:cNvPicPr/>
                  </pic:nvPicPr>
                  <pic:blipFill>
                    <a:blip r:embed="rId6"/>
                    <a:stretch>
                      <a:fillRect/>
                    </a:stretch>
                  </pic:blipFill>
                  <pic:spPr>
                    <a:xfrm>
                      <a:off x="0" y="0"/>
                      <a:ext cx="4114800" cy="4114800"/>
                    </a:xfrm>
                    <a:prstGeom prst="rect">
                      <a:avLst/>
                    </a:prstGeom>
                  </pic:spPr>
                </pic:pic>
              </a:graphicData>
            </a:graphic>
          </wp:inline>
        </w:drawing>
      </w:r>
    </w:p>
    <w:sectPr w:rsidR="00C33DBE" w:rsidSect="00034616">
      <w:pgSz w:w="8390" w:h="1190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8642433">
    <w:abstractNumId w:val="8"/>
  </w:num>
  <w:num w:numId="2" w16cid:durableId="1246652473">
    <w:abstractNumId w:val="6"/>
  </w:num>
  <w:num w:numId="3" w16cid:durableId="1324578289">
    <w:abstractNumId w:val="5"/>
  </w:num>
  <w:num w:numId="4" w16cid:durableId="828640323">
    <w:abstractNumId w:val="4"/>
  </w:num>
  <w:num w:numId="5" w16cid:durableId="854225111">
    <w:abstractNumId w:val="7"/>
  </w:num>
  <w:num w:numId="6" w16cid:durableId="1832790446">
    <w:abstractNumId w:val="3"/>
  </w:num>
  <w:num w:numId="7" w16cid:durableId="1933931304">
    <w:abstractNumId w:val="2"/>
  </w:num>
  <w:num w:numId="8" w16cid:durableId="1806309384">
    <w:abstractNumId w:val="1"/>
  </w:num>
  <w:num w:numId="9" w16cid:durableId="142864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7B84"/>
    <w:rsid w:val="00AA1D8D"/>
    <w:rsid w:val="00AA741D"/>
    <w:rsid w:val="00B47730"/>
    <w:rsid w:val="00C33DB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C3D7C"/>
  <w14:defaultImageDpi w14:val="300"/>
  <w15:docId w15:val="{CF58F914-5F57-D34A-9934-6F254B2A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Khushboo</cp:lastModifiedBy>
  <cp:revision>2</cp:revision>
  <dcterms:created xsi:type="dcterms:W3CDTF">2025-09-15T14:14:00Z</dcterms:created>
  <dcterms:modified xsi:type="dcterms:W3CDTF">2025-09-15T14:14:00Z</dcterms:modified>
  <cp:category/>
</cp:coreProperties>
</file>