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C90DC0" w14:textId="77777777" w:rsidR="00E3774B" w:rsidRPr="00E3774B" w:rsidRDefault="00E3774B" w:rsidP="00E3774B">
      <w:pPr>
        <w:spacing w:after="0" w:line="240" w:lineRule="auto"/>
        <w:rPr>
          <w:rFonts w:ascii="Arial" w:eastAsia="Calibri" w:hAnsi="Arial" w:cs="Calibri"/>
          <w:b/>
          <w:bCs/>
          <w:kern w:val="0"/>
          <w:lang w:val="en-US"/>
          <w14:ligatures w14:val="none"/>
        </w:rPr>
      </w:pPr>
      <w:r w:rsidRPr="00E3774B">
        <w:rPr>
          <w:rFonts w:ascii="Arial" w:eastAsia="Calibri" w:hAnsi="Arial" w:cs="Calibri"/>
          <w:b/>
          <w:bCs/>
          <w:kern w:val="0"/>
          <w14:ligatures w14:val="none"/>
        </w:rPr>
        <w:t xml:space="preserve">Bridging Unmet Needs in </w:t>
      </w:r>
      <w:proofErr w:type="spellStart"/>
      <w:r w:rsidRPr="00E3774B">
        <w:rPr>
          <w:rFonts w:ascii="Arial" w:eastAsia="Calibri" w:hAnsi="Arial" w:cs="Calibri"/>
          <w:b/>
          <w:bCs/>
          <w:kern w:val="0"/>
          <w14:ligatures w14:val="none"/>
        </w:rPr>
        <w:t>Pediatric</w:t>
      </w:r>
      <w:proofErr w:type="spellEnd"/>
      <w:r w:rsidRPr="00E3774B">
        <w:rPr>
          <w:rFonts w:ascii="Arial" w:eastAsia="Calibri" w:hAnsi="Arial" w:cs="Calibri"/>
          <w:b/>
          <w:bCs/>
          <w:kern w:val="0"/>
          <w14:ligatures w14:val="none"/>
        </w:rPr>
        <w:t xml:space="preserve"> Pharmacotherapy: Scientific Advances in Personalized, Age-Appropriate Formulations</w:t>
      </w:r>
    </w:p>
    <w:p w14:paraId="79141BD9" w14:textId="1335B598" w:rsidR="00C315D2" w:rsidRPr="00C315D2" w:rsidRDefault="00E3774B" w:rsidP="00C315D2">
      <w:pPr>
        <w:spacing w:after="0" w:line="240" w:lineRule="auto"/>
        <w:rPr>
          <w:rFonts w:ascii="Arial" w:eastAsia="Calibri" w:hAnsi="Arial" w:cs="Calibri"/>
          <w:bCs/>
          <w:kern w:val="0"/>
          <w:sz w:val="20"/>
          <w:szCs w:val="20"/>
          <w14:ligatures w14:val="none"/>
        </w:rPr>
      </w:pPr>
      <w:r>
        <w:rPr>
          <w:rFonts w:ascii="Arial" w:eastAsia="Calibri" w:hAnsi="Arial" w:cs="Calibri"/>
          <w:b/>
          <w:kern w:val="0"/>
          <w:sz w:val="20"/>
          <w:szCs w:val="20"/>
          <w:u w:val="single"/>
          <w14:ligatures w14:val="none"/>
        </w:rPr>
        <w:t>Hudson C Polonini</w:t>
      </w:r>
      <w:r w:rsidR="00C315D2" w:rsidRPr="00C315D2">
        <w:rPr>
          <w:rFonts w:ascii="Arial" w:eastAsia="Calibri" w:hAnsi="Arial" w:cs="Calibri"/>
          <w:b/>
          <w:kern w:val="0"/>
          <w:sz w:val="20"/>
          <w:szCs w:val="20"/>
          <w:u w:val="single"/>
          <w:vertAlign w:val="superscript"/>
          <w14:ligatures w14:val="none"/>
        </w:rPr>
        <w:t>1</w:t>
      </w:r>
      <w:r w:rsidR="00C315D2" w:rsidRPr="00C315D2">
        <w:rPr>
          <w:rFonts w:ascii="Arial" w:eastAsia="Calibri" w:hAnsi="Arial" w:cs="Calibri"/>
          <w:bCs/>
          <w:kern w:val="0"/>
          <w:sz w:val="20"/>
          <w:szCs w:val="20"/>
          <w14:ligatures w14:val="none"/>
        </w:rPr>
        <w:t xml:space="preserve"> </w:t>
      </w:r>
    </w:p>
    <w:p w14:paraId="47D76891" w14:textId="2CBB146B" w:rsidR="00C315D2" w:rsidRPr="00C315D2" w:rsidRDefault="00E3774B" w:rsidP="00E3774B">
      <w:pPr>
        <w:spacing w:after="0" w:line="240" w:lineRule="auto"/>
        <w:rPr>
          <w:rFonts w:ascii="Arial" w:eastAsia="Calibri" w:hAnsi="Arial" w:cs="Calibri"/>
          <w:bCs/>
          <w:kern w:val="0"/>
          <w:sz w:val="20"/>
          <w:szCs w:val="20"/>
          <w14:ligatures w14:val="none"/>
        </w:rPr>
      </w:pPr>
      <w:r>
        <w:rPr>
          <w:rFonts w:ascii="Arial" w:eastAsia="Calibri" w:hAnsi="Arial" w:cs="Calibri"/>
          <w:bCs/>
          <w:kern w:val="0"/>
          <w:sz w:val="20"/>
          <w:szCs w:val="20"/>
          <w14:ligatures w14:val="none"/>
        </w:rPr>
        <w:t>Global R&amp;D, Fagron</w:t>
      </w:r>
      <w:r w:rsidR="00C315D2" w:rsidRPr="00C315D2">
        <w:rPr>
          <w:rFonts w:ascii="Arial" w:eastAsia="Calibri" w:hAnsi="Arial" w:cs="Calibri"/>
          <w:bCs/>
          <w:kern w:val="0"/>
          <w:sz w:val="20"/>
          <w:szCs w:val="20"/>
          <w:vertAlign w:val="superscript"/>
          <w14:ligatures w14:val="none"/>
        </w:rPr>
        <w:t>1</w:t>
      </w:r>
      <w:r w:rsidR="00C315D2" w:rsidRPr="00C315D2">
        <w:rPr>
          <w:rFonts w:ascii="Arial" w:eastAsia="Calibri" w:hAnsi="Arial" w:cs="Calibri"/>
          <w:bCs/>
          <w:kern w:val="0"/>
          <w:sz w:val="20"/>
          <w:szCs w:val="20"/>
          <w14:ligatures w14:val="none"/>
        </w:rPr>
        <w:t xml:space="preserve">, </w:t>
      </w:r>
      <w:r>
        <w:rPr>
          <w:rFonts w:ascii="Arial" w:eastAsia="Calibri" w:hAnsi="Arial" w:cs="Calibri"/>
          <w:bCs/>
          <w:kern w:val="0"/>
          <w:sz w:val="20"/>
          <w:szCs w:val="20"/>
          <w14:ligatures w14:val="none"/>
        </w:rPr>
        <w:t>Rotterdam, The Netherlands</w:t>
      </w:r>
      <w:r w:rsidR="00C315D2" w:rsidRPr="00C315D2">
        <w:rPr>
          <w:rFonts w:ascii="Arial" w:eastAsia="Calibri" w:hAnsi="Arial" w:cs="Calibri"/>
          <w:bCs/>
          <w:kern w:val="0"/>
          <w:sz w:val="20"/>
          <w:szCs w:val="20"/>
          <w14:ligatures w14:val="none"/>
        </w:rPr>
        <w:t xml:space="preserve"> </w:t>
      </w:r>
    </w:p>
    <w:p w14:paraId="2DD37039" w14:textId="77777777" w:rsidR="00C315D2" w:rsidRPr="00C315D2" w:rsidRDefault="00C315D2" w:rsidP="00C315D2">
      <w:pPr>
        <w:spacing w:after="0" w:line="240" w:lineRule="auto"/>
        <w:rPr>
          <w:rFonts w:ascii="Arial" w:eastAsia="Calibri" w:hAnsi="Arial" w:cs="Calibri"/>
          <w:bCs/>
          <w:kern w:val="0"/>
          <w:sz w:val="20"/>
          <w:szCs w:val="20"/>
          <w14:ligatures w14:val="none"/>
        </w:rPr>
      </w:pPr>
      <w:r w:rsidRPr="00C315D2">
        <w:rPr>
          <w:rFonts w:ascii="Arial" w:eastAsia="Calibri" w:hAnsi="Arial" w:cs="Calibri"/>
          <w:bCs/>
          <w:i/>
          <w:kern w:val="0"/>
          <w:sz w:val="20"/>
          <w:szCs w:val="20"/>
          <w:lang w:val="en-US"/>
          <w14:ligatures w14:val="none"/>
        </w:rPr>
        <w:t xml:space="preserve"> </w:t>
      </w:r>
    </w:p>
    <w:p w14:paraId="2385039D" w14:textId="04D8207F" w:rsidR="00C315D2" w:rsidRPr="00C315D2" w:rsidRDefault="00B8473A" w:rsidP="00C315D2">
      <w:pPr>
        <w:spacing w:after="0" w:line="240" w:lineRule="auto"/>
        <w:jc w:val="both"/>
        <w:rPr>
          <w:rFonts w:ascii="Arial" w:eastAsia="Calibri" w:hAnsi="Arial" w:cs="Calibri"/>
          <w:bCs/>
          <w:kern w:val="0"/>
          <w:sz w:val="20"/>
          <w:szCs w:val="20"/>
          <w:lang w:val="en-US"/>
          <w14:ligatures w14:val="none"/>
        </w:rPr>
      </w:pPr>
      <w:r>
        <w:rPr>
          <w:rFonts w:ascii="Arial" w:eastAsia="Calibri" w:hAnsi="Arial" w:cs="Calibri"/>
          <w:b/>
          <w:kern w:val="0"/>
          <w:sz w:val="20"/>
          <w:szCs w:val="20"/>
          <w14:ligatures w14:val="none"/>
        </w:rPr>
        <w:t>Background and aims</w:t>
      </w:r>
      <w:r w:rsidR="00C315D2" w:rsidRPr="00C315D2">
        <w:rPr>
          <w:rFonts w:ascii="Arial" w:eastAsia="Calibri" w:hAnsi="Arial" w:cs="Calibri"/>
          <w:b/>
          <w:kern w:val="0"/>
          <w:sz w:val="20"/>
          <w:szCs w:val="20"/>
          <w14:ligatures w14:val="none"/>
        </w:rPr>
        <w:t>.</w:t>
      </w:r>
      <w:r w:rsidR="00C315D2" w:rsidRPr="00C315D2">
        <w:rPr>
          <w:rFonts w:ascii="Arial" w:eastAsia="Calibri" w:hAnsi="Arial" w:cs="Calibri"/>
          <w:bCs/>
          <w:kern w:val="0"/>
          <w:sz w:val="20"/>
          <w:szCs w:val="20"/>
          <w14:ligatures w14:val="none"/>
        </w:rPr>
        <w:t xml:space="preserve"> </w:t>
      </w:r>
      <w:r w:rsidR="001C1EE6" w:rsidRPr="001C1EE6">
        <w:rPr>
          <w:rFonts w:ascii="Arial" w:eastAsia="Calibri" w:hAnsi="Arial" w:cs="Calibri"/>
          <w:bCs/>
          <w:kern w:val="0"/>
          <w:sz w:val="20"/>
          <w:szCs w:val="20"/>
          <w14:ligatures w14:val="none"/>
        </w:rPr>
        <w:t xml:space="preserve">Personalized medicine for </w:t>
      </w:r>
      <w:proofErr w:type="spellStart"/>
      <w:r w:rsidR="001C1EE6" w:rsidRPr="001C1EE6">
        <w:rPr>
          <w:rFonts w:ascii="Arial" w:eastAsia="Calibri" w:hAnsi="Arial" w:cs="Calibri"/>
          <w:bCs/>
          <w:kern w:val="0"/>
          <w:sz w:val="20"/>
          <w:szCs w:val="20"/>
          <w14:ligatures w14:val="none"/>
        </w:rPr>
        <w:t>pediatric</w:t>
      </w:r>
      <w:proofErr w:type="spellEnd"/>
      <w:r w:rsidR="001C1EE6" w:rsidRPr="001C1EE6">
        <w:rPr>
          <w:rFonts w:ascii="Arial" w:eastAsia="Calibri" w:hAnsi="Arial" w:cs="Calibri"/>
          <w:bCs/>
          <w:kern w:val="0"/>
          <w:sz w:val="20"/>
          <w:szCs w:val="20"/>
          <w14:ligatures w14:val="none"/>
        </w:rPr>
        <w:t xml:space="preserve"> patients remains challenged by unmet needs in the development of safe, effective, and age-appropriate formulations. Advances in pharmaceutical technology now enable better adaptation of dosage forms to the physiological and developmental characteristics of neonates, infants, and children. This work explores three innovative strategies to address these needs.</w:t>
      </w:r>
    </w:p>
    <w:p w14:paraId="15D93483" w14:textId="77777777" w:rsidR="00C315D2" w:rsidRPr="00C315D2" w:rsidRDefault="00C315D2" w:rsidP="00C315D2">
      <w:pPr>
        <w:spacing w:after="0" w:line="240" w:lineRule="auto"/>
        <w:jc w:val="both"/>
        <w:rPr>
          <w:rFonts w:ascii="Arial" w:eastAsia="Calibri" w:hAnsi="Arial" w:cs="Calibri"/>
          <w:b/>
          <w:kern w:val="0"/>
          <w:sz w:val="20"/>
          <w:szCs w:val="20"/>
          <w14:ligatures w14:val="none"/>
        </w:rPr>
      </w:pPr>
    </w:p>
    <w:p w14:paraId="48C0479A" w14:textId="00025630" w:rsidR="00C315D2" w:rsidRPr="00C315D2" w:rsidRDefault="00C315D2" w:rsidP="00C315D2">
      <w:pPr>
        <w:spacing w:after="0" w:line="240" w:lineRule="auto"/>
        <w:jc w:val="both"/>
        <w:rPr>
          <w:rFonts w:ascii="Arial" w:eastAsia="Calibri" w:hAnsi="Arial" w:cs="Calibri"/>
          <w:bCs/>
          <w:kern w:val="0"/>
          <w:sz w:val="20"/>
          <w:szCs w:val="20"/>
          <w14:ligatures w14:val="none"/>
        </w:rPr>
      </w:pPr>
      <w:r w:rsidRPr="00C315D2">
        <w:rPr>
          <w:rFonts w:ascii="Arial" w:eastAsia="Calibri" w:hAnsi="Arial" w:cs="Calibri"/>
          <w:b/>
          <w:kern w:val="0"/>
          <w:sz w:val="20"/>
          <w:szCs w:val="20"/>
          <w14:ligatures w14:val="none"/>
        </w:rPr>
        <w:t>Methods.</w:t>
      </w:r>
      <w:r w:rsidRPr="00C315D2">
        <w:rPr>
          <w:rFonts w:ascii="Arial" w:eastAsia="Calibri" w:hAnsi="Arial" w:cs="Calibri"/>
          <w:bCs/>
          <w:kern w:val="0"/>
          <w:sz w:val="20"/>
          <w:szCs w:val="20"/>
          <w14:ligatures w14:val="none"/>
        </w:rPr>
        <w:t xml:space="preserve"> </w:t>
      </w:r>
      <w:r w:rsidR="001C1EE6" w:rsidRPr="001C1EE6">
        <w:rPr>
          <w:rFonts w:ascii="Arial" w:eastAsia="Calibri" w:hAnsi="Arial" w:cs="Calibri"/>
          <w:bCs/>
          <w:kern w:val="0"/>
          <w:sz w:val="20"/>
          <w:szCs w:val="20"/>
          <w14:ligatures w14:val="none"/>
        </w:rPr>
        <w:t>First, novel oral suspension vehicles based on starch-derived active suspending technology (SyrSpend) were evaluated for compatibility with over 140 active pharmaceutical ingredients (APIs). Stability studies were conducted under refrigerated and room temperature conditions for up to 90 days. Second, excipient blends for hard-shell capsules were developed using the Biopharmaceutical Classification System (BCS) as a guiding framework (</w:t>
      </w:r>
      <w:proofErr w:type="spellStart"/>
      <w:r w:rsidR="001C1EE6" w:rsidRPr="001C1EE6">
        <w:rPr>
          <w:rFonts w:ascii="Arial" w:eastAsia="Calibri" w:hAnsi="Arial" w:cs="Calibri"/>
          <w:bCs/>
          <w:kern w:val="0"/>
          <w:sz w:val="20"/>
          <w:szCs w:val="20"/>
          <w14:ligatures w14:val="none"/>
        </w:rPr>
        <w:t>DiluCap</w:t>
      </w:r>
      <w:proofErr w:type="spellEnd"/>
      <w:r w:rsidR="001C1EE6" w:rsidRPr="001C1EE6">
        <w:rPr>
          <w:rFonts w:ascii="Arial" w:eastAsia="Calibri" w:hAnsi="Arial" w:cs="Calibri"/>
          <w:bCs/>
          <w:kern w:val="0"/>
          <w:sz w:val="20"/>
          <w:szCs w:val="20"/>
          <w14:ligatures w14:val="none"/>
        </w:rPr>
        <w:t>). Formulations were optimized based on solubility, permeability, and API stability using a structured algorithm. Third, orodispersible film (ODF) technology (</w:t>
      </w:r>
      <w:proofErr w:type="spellStart"/>
      <w:r w:rsidR="001C1EE6" w:rsidRPr="001C1EE6">
        <w:rPr>
          <w:rFonts w:ascii="Arial" w:eastAsia="Calibri" w:hAnsi="Arial" w:cs="Calibri"/>
          <w:bCs/>
          <w:kern w:val="0"/>
          <w:sz w:val="20"/>
          <w:szCs w:val="20"/>
          <w14:ligatures w14:val="none"/>
        </w:rPr>
        <w:t>OrPhyllo</w:t>
      </w:r>
      <w:proofErr w:type="spellEnd"/>
      <w:r w:rsidR="001C1EE6" w:rsidRPr="001C1EE6">
        <w:rPr>
          <w:rFonts w:ascii="Arial" w:eastAsia="Calibri" w:hAnsi="Arial" w:cs="Calibri"/>
          <w:bCs/>
          <w:kern w:val="0"/>
          <w:sz w:val="20"/>
          <w:szCs w:val="20"/>
          <w14:ligatures w14:val="none"/>
        </w:rPr>
        <w:t xml:space="preserve">) was investigated for </w:t>
      </w:r>
      <w:proofErr w:type="spellStart"/>
      <w:r w:rsidR="001C1EE6" w:rsidRPr="001C1EE6">
        <w:rPr>
          <w:rFonts w:ascii="Arial" w:eastAsia="Calibri" w:hAnsi="Arial" w:cs="Calibri"/>
          <w:bCs/>
          <w:kern w:val="0"/>
          <w:sz w:val="20"/>
          <w:szCs w:val="20"/>
          <w14:ligatures w14:val="none"/>
        </w:rPr>
        <w:t>pediatric</w:t>
      </w:r>
      <w:proofErr w:type="spellEnd"/>
      <w:r w:rsidR="001C1EE6" w:rsidRPr="001C1EE6">
        <w:rPr>
          <w:rFonts w:ascii="Arial" w:eastAsia="Calibri" w:hAnsi="Arial" w:cs="Calibri"/>
          <w:bCs/>
          <w:kern w:val="0"/>
          <w:sz w:val="20"/>
          <w:szCs w:val="20"/>
          <w14:ligatures w14:val="none"/>
        </w:rPr>
        <w:t xml:space="preserve"> patients with swallowing difficulties, with focus on formulation robustness and disintegration performance</w:t>
      </w:r>
      <w:r w:rsidRPr="00C315D2">
        <w:rPr>
          <w:rFonts w:ascii="Arial" w:eastAsia="Calibri" w:hAnsi="Arial" w:cs="Calibri"/>
          <w:bCs/>
          <w:kern w:val="0"/>
          <w:sz w:val="20"/>
          <w:szCs w:val="20"/>
          <w14:ligatures w14:val="none"/>
        </w:rPr>
        <w:t xml:space="preserve">. </w:t>
      </w:r>
    </w:p>
    <w:p w14:paraId="1387B9C3" w14:textId="77777777" w:rsidR="00C315D2" w:rsidRPr="00C315D2" w:rsidRDefault="00C315D2" w:rsidP="00C315D2">
      <w:pPr>
        <w:spacing w:after="0" w:line="240" w:lineRule="auto"/>
        <w:jc w:val="both"/>
        <w:rPr>
          <w:rFonts w:ascii="Calibri" w:eastAsia="Calibri" w:hAnsi="Calibri" w:cs="Times New Roman"/>
          <w:b/>
          <w:bCs/>
          <w:kern w:val="0"/>
          <w:lang w:val="en-GB"/>
          <w14:ligatures w14:val="none"/>
        </w:rPr>
      </w:pPr>
    </w:p>
    <w:p w14:paraId="58EE2702" w14:textId="6851AAC8" w:rsidR="00C315D2" w:rsidRPr="00C315D2" w:rsidRDefault="00795378" w:rsidP="2021B9E9">
      <w:pPr>
        <w:spacing w:after="0" w:line="240" w:lineRule="auto"/>
        <w:jc w:val="both"/>
        <w:rPr>
          <w:rFonts w:ascii="Arial" w:eastAsia="Calibri" w:hAnsi="Arial" w:cs="Calibri"/>
          <w:kern w:val="0"/>
          <w:sz w:val="20"/>
          <w:szCs w:val="20"/>
          <w:lang w:val="en-US"/>
          <w14:ligatures w14:val="none"/>
        </w:rPr>
      </w:pPr>
      <w:r w:rsidRPr="2021B9E9">
        <w:rPr>
          <w:rFonts w:ascii="Arial" w:eastAsia="Calibri" w:hAnsi="Arial" w:cs="Calibri"/>
          <w:b/>
          <w:bCs/>
          <w:kern w:val="0"/>
          <w:sz w:val="20"/>
          <w:szCs w:val="20"/>
          <w14:ligatures w14:val="none"/>
        </w:rPr>
        <w:t>Results.</w:t>
      </w:r>
      <w:r w:rsidR="00C315D2" w:rsidRPr="00C315D2">
        <w:rPr>
          <w:rFonts w:ascii="Calibri" w:eastAsia="Calibri" w:hAnsi="Calibri" w:cs="Times New Roman"/>
          <w:kern w:val="0"/>
          <w:lang w:val="en-GB"/>
          <w14:ligatures w14:val="none"/>
        </w:rPr>
        <w:t xml:space="preserve"> </w:t>
      </w:r>
      <w:r w:rsidR="001C1EE6" w:rsidRPr="001C1EE6">
        <w:rPr>
          <w:rFonts w:ascii="Arial" w:eastAsia="Calibri" w:hAnsi="Arial" w:cs="Calibri"/>
          <w:kern w:val="0"/>
          <w:sz w:val="20"/>
          <w:szCs w:val="20"/>
          <w14:ligatures w14:val="none"/>
        </w:rPr>
        <w:t xml:space="preserve">SyrSpend vehicles demonstrated superior content uniformity, low osmolality, and excipient safety in accordance with EMA, FDA, and WHO guidelines, confirming suitability for vulnerable </w:t>
      </w:r>
      <w:proofErr w:type="spellStart"/>
      <w:r w:rsidR="001C1EE6" w:rsidRPr="001C1EE6">
        <w:rPr>
          <w:rFonts w:ascii="Arial" w:eastAsia="Calibri" w:hAnsi="Arial" w:cs="Calibri"/>
          <w:kern w:val="0"/>
          <w:sz w:val="20"/>
          <w:szCs w:val="20"/>
          <w14:ligatures w14:val="none"/>
        </w:rPr>
        <w:t>pediatric</w:t>
      </w:r>
      <w:proofErr w:type="spellEnd"/>
      <w:r w:rsidR="001C1EE6" w:rsidRPr="001C1EE6">
        <w:rPr>
          <w:rFonts w:ascii="Arial" w:eastAsia="Calibri" w:hAnsi="Arial" w:cs="Calibri"/>
          <w:kern w:val="0"/>
          <w:sz w:val="20"/>
          <w:szCs w:val="20"/>
          <w14:ligatures w14:val="none"/>
        </w:rPr>
        <w:t xml:space="preserve"> groups. </w:t>
      </w:r>
      <w:proofErr w:type="spellStart"/>
      <w:r w:rsidR="001C1EE6" w:rsidRPr="001C1EE6">
        <w:rPr>
          <w:rFonts w:ascii="Arial" w:eastAsia="Calibri" w:hAnsi="Arial" w:cs="Calibri"/>
          <w:kern w:val="0"/>
          <w:sz w:val="20"/>
          <w:szCs w:val="20"/>
          <w14:ligatures w14:val="none"/>
        </w:rPr>
        <w:t>DiluCap</w:t>
      </w:r>
      <w:proofErr w:type="spellEnd"/>
      <w:r w:rsidR="001C1EE6" w:rsidRPr="001C1EE6">
        <w:rPr>
          <w:rFonts w:ascii="Arial" w:eastAsia="Calibri" w:hAnsi="Arial" w:cs="Calibri"/>
          <w:kern w:val="0"/>
          <w:sz w:val="20"/>
          <w:szCs w:val="20"/>
          <w14:ligatures w14:val="none"/>
        </w:rPr>
        <w:t xml:space="preserve"> formulations improved flowability, dissolution, and bioavailability of APIs from all four BCS classes, supported by powder characterization, dissolution data, and accelerated stability tests. </w:t>
      </w:r>
      <w:proofErr w:type="spellStart"/>
      <w:r w:rsidR="001C1EE6" w:rsidRPr="001C1EE6">
        <w:rPr>
          <w:rFonts w:ascii="Arial" w:eastAsia="Calibri" w:hAnsi="Arial" w:cs="Calibri"/>
          <w:kern w:val="0"/>
          <w:sz w:val="20"/>
          <w:szCs w:val="20"/>
          <w14:ligatures w14:val="none"/>
        </w:rPr>
        <w:t>OrPhyllo</w:t>
      </w:r>
      <w:proofErr w:type="spellEnd"/>
      <w:r w:rsidR="001C1EE6" w:rsidRPr="001C1EE6">
        <w:rPr>
          <w:rFonts w:ascii="Arial" w:eastAsia="Calibri" w:hAnsi="Arial" w:cs="Calibri"/>
          <w:kern w:val="0"/>
          <w:sz w:val="20"/>
          <w:szCs w:val="20"/>
          <w14:ligatures w14:val="none"/>
        </w:rPr>
        <w:t xml:space="preserve"> ODFs achieved rapid disintegration (&lt;30 seconds), high mechanical integrity, and excellent physicochemical and organoleptic profiles across diverse APIs</w:t>
      </w:r>
      <w:r w:rsidR="00C315D2" w:rsidRPr="2021B9E9">
        <w:rPr>
          <w:rFonts w:ascii="Arial" w:eastAsia="Calibri" w:hAnsi="Arial" w:cs="Calibri"/>
          <w:kern w:val="0"/>
          <w:sz w:val="20"/>
          <w:szCs w:val="20"/>
          <w:lang w:val="en-US"/>
          <w14:ligatures w14:val="none"/>
        </w:rPr>
        <w:t>.</w:t>
      </w:r>
    </w:p>
    <w:p w14:paraId="37012700" w14:textId="75D34A5A" w:rsidR="00C315D2" w:rsidRDefault="00C315D2" w:rsidP="00C315D2">
      <w:pPr>
        <w:spacing w:after="0" w:line="240" w:lineRule="auto"/>
        <w:jc w:val="both"/>
        <w:rPr>
          <w:rFonts w:ascii="Arial" w:eastAsia="Calibri" w:hAnsi="Arial" w:cs="Calibri"/>
          <w:b/>
          <w:kern w:val="0"/>
          <w:sz w:val="20"/>
          <w:szCs w:val="20"/>
          <w14:ligatures w14:val="none"/>
        </w:rPr>
      </w:pPr>
    </w:p>
    <w:p w14:paraId="65E846CD" w14:textId="346760C8" w:rsidR="00C315D2" w:rsidRPr="00C315D2" w:rsidRDefault="00B8473A" w:rsidP="00C315D2">
      <w:pPr>
        <w:spacing w:after="0" w:line="240" w:lineRule="auto"/>
        <w:jc w:val="both"/>
        <w:rPr>
          <w:rFonts w:ascii="Arial" w:eastAsia="Calibri" w:hAnsi="Arial" w:cs="Calibri"/>
          <w:bCs/>
          <w:kern w:val="0"/>
          <w:sz w:val="20"/>
          <w:szCs w:val="20"/>
          <w:lang w:val="en-US"/>
          <w14:ligatures w14:val="none"/>
        </w:rPr>
      </w:pPr>
      <w:r>
        <w:rPr>
          <w:rFonts w:ascii="Arial" w:eastAsia="Calibri" w:hAnsi="Arial" w:cs="Calibri"/>
          <w:b/>
          <w:kern w:val="0"/>
          <w:sz w:val="20"/>
          <w:szCs w:val="20"/>
          <w14:ligatures w14:val="none"/>
        </w:rPr>
        <w:t>Conclusion/</w:t>
      </w:r>
      <w:r w:rsidR="00C315D2" w:rsidRPr="00C315D2">
        <w:rPr>
          <w:rFonts w:ascii="Arial" w:eastAsia="Calibri" w:hAnsi="Arial" w:cs="Calibri"/>
          <w:b/>
          <w:kern w:val="0"/>
          <w:sz w:val="20"/>
          <w:szCs w:val="20"/>
          <w14:ligatures w14:val="none"/>
        </w:rPr>
        <w:t>Discussion.</w:t>
      </w:r>
      <w:r w:rsidR="00C315D2" w:rsidRPr="00C315D2">
        <w:rPr>
          <w:rFonts w:ascii="Arial" w:eastAsia="Calibri" w:hAnsi="Arial" w:cs="Calibri"/>
          <w:bCs/>
          <w:kern w:val="0"/>
          <w:sz w:val="20"/>
          <w:szCs w:val="20"/>
          <w14:ligatures w14:val="none"/>
        </w:rPr>
        <w:t xml:space="preserve"> </w:t>
      </w:r>
      <w:r w:rsidR="001C1EE6" w:rsidRPr="001C1EE6">
        <w:rPr>
          <w:rFonts w:ascii="Arial" w:eastAsia="Calibri" w:hAnsi="Arial" w:cs="Calibri"/>
          <w:bCs/>
          <w:kern w:val="0"/>
          <w:sz w:val="20"/>
          <w:szCs w:val="20"/>
          <w14:ligatures w14:val="none"/>
        </w:rPr>
        <w:t xml:space="preserve">These strategies illustrate how the integration of pharmaceutical sciences, biopharmaceutical principles, and </w:t>
      </w:r>
      <w:proofErr w:type="spellStart"/>
      <w:r w:rsidR="001C1EE6" w:rsidRPr="001C1EE6">
        <w:rPr>
          <w:rFonts w:ascii="Arial" w:eastAsia="Calibri" w:hAnsi="Arial" w:cs="Calibri"/>
          <w:bCs/>
          <w:kern w:val="0"/>
          <w:sz w:val="20"/>
          <w:szCs w:val="20"/>
          <w14:ligatures w14:val="none"/>
        </w:rPr>
        <w:t>pediatric</w:t>
      </w:r>
      <w:proofErr w:type="spellEnd"/>
      <w:r w:rsidR="001C1EE6" w:rsidRPr="001C1EE6">
        <w:rPr>
          <w:rFonts w:ascii="Arial" w:eastAsia="Calibri" w:hAnsi="Arial" w:cs="Calibri"/>
          <w:bCs/>
          <w:kern w:val="0"/>
          <w:sz w:val="20"/>
          <w:szCs w:val="20"/>
          <w14:ligatures w14:val="none"/>
        </w:rPr>
        <w:t xml:space="preserve">-specific considerations can drive the development of safer, more effective, and personalized therapies for children. These approaches align with the AFPS 2025 theme of age-appropriate </w:t>
      </w:r>
      <w:proofErr w:type="spellStart"/>
      <w:r w:rsidR="001C1EE6" w:rsidRPr="001C1EE6">
        <w:rPr>
          <w:rFonts w:ascii="Arial" w:eastAsia="Calibri" w:hAnsi="Arial" w:cs="Calibri"/>
          <w:bCs/>
          <w:kern w:val="0"/>
          <w:sz w:val="20"/>
          <w:szCs w:val="20"/>
          <w14:ligatures w14:val="none"/>
        </w:rPr>
        <w:t>pediatric</w:t>
      </w:r>
      <w:proofErr w:type="spellEnd"/>
      <w:r w:rsidR="001C1EE6" w:rsidRPr="001C1EE6">
        <w:rPr>
          <w:rFonts w:ascii="Arial" w:eastAsia="Calibri" w:hAnsi="Arial" w:cs="Calibri"/>
          <w:bCs/>
          <w:kern w:val="0"/>
          <w:sz w:val="20"/>
          <w:szCs w:val="20"/>
          <w14:ligatures w14:val="none"/>
        </w:rPr>
        <w:t xml:space="preserve"> formulations and represent promising advances toward addressing long-standing challenges in </w:t>
      </w:r>
      <w:proofErr w:type="spellStart"/>
      <w:r w:rsidR="001C1EE6" w:rsidRPr="001C1EE6">
        <w:rPr>
          <w:rFonts w:ascii="Arial" w:eastAsia="Calibri" w:hAnsi="Arial" w:cs="Calibri"/>
          <w:bCs/>
          <w:kern w:val="0"/>
          <w:sz w:val="20"/>
          <w:szCs w:val="20"/>
          <w14:ligatures w14:val="none"/>
        </w:rPr>
        <w:t>pediatric</w:t>
      </w:r>
      <w:proofErr w:type="spellEnd"/>
      <w:r w:rsidR="001C1EE6" w:rsidRPr="001C1EE6">
        <w:rPr>
          <w:rFonts w:ascii="Arial" w:eastAsia="Calibri" w:hAnsi="Arial" w:cs="Calibri"/>
          <w:bCs/>
          <w:kern w:val="0"/>
          <w:sz w:val="20"/>
          <w:szCs w:val="20"/>
          <w14:ligatures w14:val="none"/>
        </w:rPr>
        <w:t xml:space="preserve"> pharmacotherapy.</w:t>
      </w:r>
    </w:p>
    <w:p w14:paraId="1AF10CAD" w14:textId="77777777" w:rsidR="00C315D2" w:rsidRPr="00C315D2" w:rsidRDefault="00C315D2" w:rsidP="00C315D2">
      <w:pPr>
        <w:spacing w:after="0" w:line="240" w:lineRule="auto"/>
        <w:jc w:val="both"/>
        <w:rPr>
          <w:rFonts w:ascii="Arial" w:eastAsia="Calibri" w:hAnsi="Arial" w:cs="Calibri"/>
          <w:b/>
          <w:kern w:val="0"/>
          <w:sz w:val="20"/>
          <w:szCs w:val="20"/>
          <w14:ligatures w14:val="none"/>
        </w:rPr>
      </w:pPr>
    </w:p>
    <w:p w14:paraId="2C801966" w14:textId="2A81D4B0" w:rsidR="00C315D2" w:rsidRPr="00C315D2" w:rsidRDefault="00C315D2" w:rsidP="00C315D2">
      <w:pPr>
        <w:spacing w:after="0" w:line="240" w:lineRule="auto"/>
        <w:jc w:val="both"/>
        <w:rPr>
          <w:rFonts w:ascii="Arial" w:eastAsia="Calibri" w:hAnsi="Arial" w:cs="Calibri"/>
          <w:bCs/>
          <w:kern w:val="0"/>
          <w:sz w:val="20"/>
          <w:szCs w:val="20"/>
          <w:lang w:val="en-US"/>
          <w14:ligatures w14:val="none"/>
        </w:rPr>
      </w:pPr>
      <w:r w:rsidRPr="00C315D2">
        <w:rPr>
          <w:rFonts w:ascii="Arial" w:eastAsia="Calibri" w:hAnsi="Arial" w:cs="Calibri"/>
          <w:b/>
          <w:kern w:val="0"/>
          <w:sz w:val="20"/>
          <w:szCs w:val="20"/>
          <w14:ligatures w14:val="none"/>
        </w:rPr>
        <w:t>References:</w:t>
      </w:r>
      <w:r w:rsidRPr="00C315D2">
        <w:rPr>
          <w:rFonts w:ascii="Arial" w:eastAsia="Calibri" w:hAnsi="Arial" w:cs="Calibri"/>
          <w:bCs/>
          <w:kern w:val="0"/>
          <w:sz w:val="20"/>
          <w:szCs w:val="20"/>
          <w14:ligatures w14:val="none"/>
        </w:rPr>
        <w:t xml:space="preserve"> </w:t>
      </w:r>
    </w:p>
    <w:p w14:paraId="71A02E27" w14:textId="71475983" w:rsidR="000268AD" w:rsidRPr="000268AD" w:rsidRDefault="00C315D2" w:rsidP="000268AD">
      <w:pPr>
        <w:spacing w:after="0" w:line="240" w:lineRule="auto"/>
        <w:jc w:val="both"/>
        <w:rPr>
          <w:rFonts w:ascii="Arial" w:eastAsia="Calibri" w:hAnsi="Arial" w:cs="Calibri"/>
          <w:bCs/>
          <w:kern w:val="0"/>
          <w:sz w:val="20"/>
          <w:szCs w:val="20"/>
          <w:lang w:val="nl-NL"/>
          <w14:ligatures w14:val="none"/>
        </w:rPr>
      </w:pPr>
      <w:r w:rsidRPr="000268AD">
        <w:rPr>
          <w:rFonts w:ascii="Arial" w:eastAsia="Calibri" w:hAnsi="Arial" w:cs="Calibri"/>
          <w:bCs/>
          <w:kern w:val="0"/>
          <w:sz w:val="20"/>
          <w:szCs w:val="20"/>
          <w:lang w:val="nl-NL"/>
          <w14:ligatures w14:val="none"/>
        </w:rPr>
        <w:t xml:space="preserve">(1) </w:t>
      </w:r>
      <w:r w:rsidR="000268AD" w:rsidRPr="000268AD">
        <w:rPr>
          <w:rFonts w:ascii="Arial" w:eastAsia="Calibri" w:hAnsi="Arial" w:cs="Calibri"/>
          <w:bCs/>
          <w:kern w:val="0"/>
          <w:sz w:val="20"/>
          <w:szCs w:val="20"/>
          <w:lang w:val="nl-NL"/>
          <w14:ligatures w14:val="none"/>
        </w:rPr>
        <w:t>Dijkers, E.</w:t>
      </w:r>
      <w:r w:rsidR="000268AD" w:rsidRPr="000268AD">
        <w:rPr>
          <w:rFonts w:ascii="Arial" w:eastAsia="Calibri" w:hAnsi="Arial" w:cs="Calibri"/>
          <w:bCs/>
          <w:kern w:val="0"/>
          <w:sz w:val="20"/>
          <w:szCs w:val="20"/>
          <w:lang w:val="nl-NL"/>
          <w14:ligatures w14:val="none"/>
        </w:rPr>
        <w:t xml:space="preserve"> et al (2017) </w:t>
      </w:r>
      <w:r w:rsidR="000268AD" w:rsidRPr="000268AD">
        <w:rPr>
          <w:rFonts w:ascii="Arial" w:eastAsia="Calibri" w:hAnsi="Arial" w:cs="Calibri"/>
          <w:bCs/>
          <w:kern w:val="0"/>
          <w:sz w:val="20"/>
          <w:szCs w:val="20"/>
          <w:lang w:val="nl-NL"/>
          <w14:ligatures w14:val="none"/>
        </w:rPr>
        <w:t>Int J Pharm Compd 21(2)</w:t>
      </w:r>
      <w:r w:rsidR="000268AD" w:rsidRPr="000268AD">
        <w:rPr>
          <w:rFonts w:ascii="Arial" w:eastAsia="Calibri" w:hAnsi="Arial" w:cs="Calibri"/>
          <w:bCs/>
          <w:kern w:val="0"/>
          <w:sz w:val="20"/>
          <w:szCs w:val="20"/>
          <w:lang w:val="nl-NL"/>
          <w14:ligatures w14:val="none"/>
        </w:rPr>
        <w:t>:</w:t>
      </w:r>
      <w:r w:rsidR="000268AD" w:rsidRPr="000268AD">
        <w:rPr>
          <w:rFonts w:ascii="Arial" w:eastAsia="Calibri" w:hAnsi="Arial" w:cs="Calibri"/>
          <w:bCs/>
          <w:kern w:val="0"/>
          <w:sz w:val="20"/>
          <w:szCs w:val="20"/>
          <w:lang w:val="nl-NL"/>
          <w14:ligatures w14:val="none"/>
        </w:rPr>
        <w:t>171</w:t>
      </w:r>
      <w:r w:rsidR="000268AD" w:rsidRPr="000268AD">
        <w:rPr>
          <w:rFonts w:ascii="Arial" w:eastAsia="Calibri" w:hAnsi="Arial" w:cs="Calibri"/>
          <w:bCs/>
          <w:kern w:val="0"/>
          <w:sz w:val="20"/>
          <w:szCs w:val="20"/>
          <w:lang w:val="nl-NL"/>
          <w14:ligatures w14:val="none"/>
        </w:rPr>
        <w:t>-</w:t>
      </w:r>
      <w:r w:rsidR="000268AD" w:rsidRPr="000268AD">
        <w:rPr>
          <w:rFonts w:ascii="Arial" w:eastAsia="Calibri" w:hAnsi="Arial" w:cs="Calibri"/>
          <w:bCs/>
          <w:kern w:val="0"/>
          <w:sz w:val="20"/>
          <w:szCs w:val="20"/>
          <w:lang w:val="nl-NL"/>
          <w14:ligatures w14:val="none"/>
        </w:rPr>
        <w:t>178.</w:t>
      </w:r>
    </w:p>
    <w:p w14:paraId="06BAEFE7" w14:textId="5328F13E" w:rsidR="000268AD" w:rsidRPr="000268AD" w:rsidRDefault="000268AD" w:rsidP="000268AD">
      <w:pPr>
        <w:spacing w:after="0" w:line="240" w:lineRule="auto"/>
        <w:jc w:val="both"/>
        <w:rPr>
          <w:rFonts w:ascii="Arial" w:eastAsia="Calibri" w:hAnsi="Arial" w:cs="Calibri"/>
          <w:bCs/>
          <w:kern w:val="0"/>
          <w:sz w:val="20"/>
          <w:szCs w:val="20"/>
          <w:lang w:val="nl-NL"/>
          <w14:ligatures w14:val="none"/>
        </w:rPr>
      </w:pPr>
      <w:r w:rsidRPr="000268AD">
        <w:rPr>
          <w:rFonts w:ascii="Arial" w:eastAsia="Calibri" w:hAnsi="Arial" w:cs="Calibri"/>
          <w:bCs/>
          <w:kern w:val="0"/>
          <w:sz w:val="20"/>
          <w:szCs w:val="20"/>
          <w:lang w:val="nl-NL"/>
          <w14:ligatures w14:val="none"/>
        </w:rPr>
        <w:t xml:space="preserve">(2) </w:t>
      </w:r>
      <w:r w:rsidRPr="000268AD">
        <w:rPr>
          <w:rFonts w:ascii="Arial" w:eastAsia="Calibri" w:hAnsi="Arial" w:cs="Calibri"/>
          <w:bCs/>
          <w:kern w:val="0"/>
          <w:sz w:val="20"/>
          <w:szCs w:val="20"/>
          <w:lang w:val="nl-NL"/>
          <w14:ligatures w14:val="none"/>
        </w:rPr>
        <w:t>Ferreira, A.O.</w:t>
      </w:r>
      <w:r w:rsidRPr="000268AD">
        <w:rPr>
          <w:rFonts w:ascii="Arial" w:eastAsia="Calibri" w:hAnsi="Arial" w:cs="Calibri"/>
          <w:bCs/>
          <w:kern w:val="0"/>
          <w:sz w:val="20"/>
          <w:szCs w:val="20"/>
          <w:lang w:val="nl-NL"/>
          <w14:ligatures w14:val="none"/>
        </w:rPr>
        <w:t xml:space="preserve"> et al (2022) </w:t>
      </w:r>
      <w:r w:rsidRPr="000268AD">
        <w:rPr>
          <w:rFonts w:ascii="Arial" w:eastAsia="Calibri" w:hAnsi="Arial" w:cs="Calibri"/>
          <w:bCs/>
          <w:kern w:val="0"/>
          <w:sz w:val="20"/>
          <w:szCs w:val="20"/>
          <w:lang w:val="nl-NL"/>
          <w14:ligatures w14:val="none"/>
        </w:rPr>
        <w:t>Int J Pharm Compd 26(4)</w:t>
      </w:r>
      <w:r w:rsidRPr="000268AD">
        <w:rPr>
          <w:rFonts w:ascii="Arial" w:eastAsia="Calibri" w:hAnsi="Arial" w:cs="Calibri"/>
          <w:bCs/>
          <w:kern w:val="0"/>
          <w:sz w:val="20"/>
          <w:szCs w:val="20"/>
          <w:lang w:val="nl-NL"/>
          <w14:ligatures w14:val="none"/>
        </w:rPr>
        <w:t>:</w:t>
      </w:r>
      <w:r w:rsidRPr="000268AD">
        <w:rPr>
          <w:rFonts w:ascii="Arial" w:eastAsia="Calibri" w:hAnsi="Arial" w:cs="Calibri"/>
          <w:bCs/>
          <w:kern w:val="0"/>
          <w:sz w:val="20"/>
          <w:szCs w:val="20"/>
          <w:lang w:val="nl-NL"/>
          <w14:ligatures w14:val="none"/>
        </w:rPr>
        <w:t>283</w:t>
      </w:r>
      <w:r w:rsidRPr="000268AD">
        <w:rPr>
          <w:rFonts w:ascii="Arial" w:eastAsia="Calibri" w:hAnsi="Arial" w:cs="Calibri"/>
          <w:bCs/>
          <w:kern w:val="0"/>
          <w:sz w:val="20"/>
          <w:szCs w:val="20"/>
          <w:lang w:val="nl-NL"/>
          <w14:ligatures w14:val="none"/>
        </w:rPr>
        <w:t>-</w:t>
      </w:r>
      <w:r w:rsidRPr="000268AD">
        <w:rPr>
          <w:rFonts w:ascii="Arial" w:eastAsia="Calibri" w:hAnsi="Arial" w:cs="Calibri"/>
          <w:bCs/>
          <w:kern w:val="0"/>
          <w:sz w:val="20"/>
          <w:szCs w:val="20"/>
          <w:lang w:val="nl-NL"/>
          <w14:ligatures w14:val="none"/>
        </w:rPr>
        <w:t>288.</w:t>
      </w:r>
    </w:p>
    <w:p w14:paraId="70104CA6" w14:textId="3FD6B245" w:rsidR="000268AD" w:rsidRPr="000268AD" w:rsidRDefault="000268AD" w:rsidP="000268AD">
      <w:pPr>
        <w:spacing w:after="0" w:line="240" w:lineRule="auto"/>
        <w:jc w:val="both"/>
        <w:rPr>
          <w:rFonts w:ascii="Arial" w:eastAsia="Calibri" w:hAnsi="Arial" w:cs="Calibri"/>
          <w:bCs/>
          <w:kern w:val="0"/>
          <w:sz w:val="20"/>
          <w:szCs w:val="20"/>
          <w:lang w:val="nl-NL"/>
          <w14:ligatures w14:val="none"/>
        </w:rPr>
      </w:pPr>
      <w:r w:rsidRPr="000268AD">
        <w:rPr>
          <w:rFonts w:ascii="Arial" w:eastAsia="Calibri" w:hAnsi="Arial" w:cs="Calibri"/>
          <w:bCs/>
          <w:kern w:val="0"/>
          <w:sz w:val="20"/>
          <w:szCs w:val="20"/>
          <w:lang w:val="nl-NL"/>
          <w14:ligatures w14:val="none"/>
        </w:rPr>
        <w:t xml:space="preserve">(3) </w:t>
      </w:r>
      <w:r w:rsidRPr="000268AD">
        <w:rPr>
          <w:rFonts w:ascii="Arial" w:eastAsia="Calibri" w:hAnsi="Arial" w:cs="Calibri"/>
          <w:bCs/>
          <w:kern w:val="0"/>
          <w:sz w:val="20"/>
          <w:szCs w:val="20"/>
          <w:lang w:val="nl-NL"/>
          <w14:ligatures w14:val="none"/>
        </w:rPr>
        <w:t>Polonini, H.C.</w:t>
      </w:r>
      <w:r w:rsidRPr="000268AD">
        <w:rPr>
          <w:rFonts w:ascii="Arial" w:eastAsia="Calibri" w:hAnsi="Arial" w:cs="Calibri"/>
          <w:bCs/>
          <w:kern w:val="0"/>
          <w:sz w:val="20"/>
          <w:szCs w:val="20"/>
          <w:lang w:val="nl-NL"/>
          <w14:ligatures w14:val="none"/>
        </w:rPr>
        <w:t xml:space="preserve"> et al (2023) </w:t>
      </w:r>
      <w:r w:rsidRPr="000268AD">
        <w:rPr>
          <w:rFonts w:ascii="Arial" w:eastAsia="Calibri" w:hAnsi="Arial" w:cs="Calibri"/>
          <w:bCs/>
          <w:kern w:val="0"/>
          <w:sz w:val="20"/>
          <w:szCs w:val="20"/>
          <w:lang w:val="nl-NL"/>
          <w14:ligatures w14:val="none"/>
        </w:rPr>
        <w:t>J Pers Med 13</w:t>
      </w:r>
      <w:r w:rsidRPr="000268AD">
        <w:rPr>
          <w:rFonts w:ascii="Arial" w:eastAsia="Calibri" w:hAnsi="Arial" w:cs="Calibri"/>
          <w:bCs/>
          <w:kern w:val="0"/>
          <w:sz w:val="20"/>
          <w:szCs w:val="20"/>
          <w:lang w:val="nl-NL"/>
          <w14:ligatures w14:val="none"/>
        </w:rPr>
        <w:t>:</w:t>
      </w:r>
      <w:r w:rsidRPr="000268AD">
        <w:rPr>
          <w:rFonts w:ascii="Arial" w:eastAsia="Calibri" w:hAnsi="Arial" w:cs="Calibri"/>
          <w:bCs/>
          <w:kern w:val="0"/>
          <w:sz w:val="20"/>
          <w:szCs w:val="20"/>
          <w:lang w:val="nl-NL"/>
          <w14:ligatures w14:val="none"/>
        </w:rPr>
        <w:t>1565.</w:t>
      </w:r>
    </w:p>
    <w:sectPr w:rsidR="000268AD" w:rsidRPr="000268A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7795CCE"/>
    <w:multiLevelType w:val="hybridMultilevel"/>
    <w:tmpl w:val="06A68968"/>
    <w:lvl w:ilvl="0" w:tplc="54F48314">
      <w:numFmt w:val="bullet"/>
      <w:lvlText w:val="-"/>
      <w:lvlJc w:val="left"/>
      <w:pPr>
        <w:ind w:left="720" w:hanging="360"/>
      </w:pPr>
      <w:rPr>
        <w:rFonts w:ascii="Arial" w:eastAsiaTheme="minorHAnsi" w:hAnsi="Arial" w:cs="Arial"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398853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15D2"/>
    <w:rsid w:val="000268AD"/>
    <w:rsid w:val="00107368"/>
    <w:rsid w:val="00113BB7"/>
    <w:rsid w:val="001C1EE6"/>
    <w:rsid w:val="002017E6"/>
    <w:rsid w:val="00294059"/>
    <w:rsid w:val="003206E4"/>
    <w:rsid w:val="003A6D5C"/>
    <w:rsid w:val="004A51B6"/>
    <w:rsid w:val="00510CF8"/>
    <w:rsid w:val="00575A29"/>
    <w:rsid w:val="00601754"/>
    <w:rsid w:val="006A34BE"/>
    <w:rsid w:val="006A7BAF"/>
    <w:rsid w:val="006F3F1C"/>
    <w:rsid w:val="007141F2"/>
    <w:rsid w:val="007561D8"/>
    <w:rsid w:val="00795378"/>
    <w:rsid w:val="00796206"/>
    <w:rsid w:val="007C367E"/>
    <w:rsid w:val="008071C5"/>
    <w:rsid w:val="00906D34"/>
    <w:rsid w:val="00917D13"/>
    <w:rsid w:val="00933DC9"/>
    <w:rsid w:val="00936D4C"/>
    <w:rsid w:val="009523F9"/>
    <w:rsid w:val="009650DF"/>
    <w:rsid w:val="009B1CBB"/>
    <w:rsid w:val="00A0516D"/>
    <w:rsid w:val="00B4721D"/>
    <w:rsid w:val="00B8473A"/>
    <w:rsid w:val="00C21815"/>
    <w:rsid w:val="00C315D2"/>
    <w:rsid w:val="00C353D8"/>
    <w:rsid w:val="00CF5A91"/>
    <w:rsid w:val="00D02BB1"/>
    <w:rsid w:val="00D45A74"/>
    <w:rsid w:val="00D7428F"/>
    <w:rsid w:val="00E3774B"/>
    <w:rsid w:val="00EC3746"/>
    <w:rsid w:val="00F539FB"/>
    <w:rsid w:val="00F85528"/>
    <w:rsid w:val="2021B9E9"/>
    <w:rsid w:val="4FE71DF4"/>
    <w:rsid w:val="5E2C5F31"/>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9E18DD"/>
  <w15:chartTrackingRefBased/>
  <w15:docId w15:val="{68CD8C6C-48B5-45FC-AC27-B37918D87E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315D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315D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315D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315D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315D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315D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315D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315D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315D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15D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315D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315D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315D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315D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315D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315D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315D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315D2"/>
    <w:rPr>
      <w:rFonts w:eastAsiaTheme="majorEastAsia" w:cstheme="majorBidi"/>
      <w:color w:val="272727" w:themeColor="text1" w:themeTint="D8"/>
    </w:rPr>
  </w:style>
  <w:style w:type="paragraph" w:styleId="Title">
    <w:name w:val="Title"/>
    <w:basedOn w:val="Normal"/>
    <w:next w:val="Normal"/>
    <w:link w:val="TitleChar"/>
    <w:uiPriority w:val="10"/>
    <w:qFormat/>
    <w:rsid w:val="00C315D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315D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315D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315D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315D2"/>
    <w:pPr>
      <w:spacing w:before="160"/>
      <w:jc w:val="center"/>
    </w:pPr>
    <w:rPr>
      <w:i/>
      <w:iCs/>
      <w:color w:val="404040" w:themeColor="text1" w:themeTint="BF"/>
    </w:rPr>
  </w:style>
  <w:style w:type="character" w:customStyle="1" w:styleId="QuoteChar">
    <w:name w:val="Quote Char"/>
    <w:basedOn w:val="DefaultParagraphFont"/>
    <w:link w:val="Quote"/>
    <w:uiPriority w:val="29"/>
    <w:rsid w:val="00C315D2"/>
    <w:rPr>
      <w:i/>
      <w:iCs/>
      <w:color w:val="404040" w:themeColor="text1" w:themeTint="BF"/>
    </w:rPr>
  </w:style>
  <w:style w:type="paragraph" w:styleId="ListParagraph">
    <w:name w:val="List Paragraph"/>
    <w:basedOn w:val="Normal"/>
    <w:uiPriority w:val="34"/>
    <w:qFormat/>
    <w:rsid w:val="00C315D2"/>
    <w:pPr>
      <w:ind w:left="720"/>
      <w:contextualSpacing/>
    </w:pPr>
  </w:style>
  <w:style w:type="character" w:styleId="IntenseEmphasis">
    <w:name w:val="Intense Emphasis"/>
    <w:basedOn w:val="DefaultParagraphFont"/>
    <w:uiPriority w:val="21"/>
    <w:qFormat/>
    <w:rsid w:val="00C315D2"/>
    <w:rPr>
      <w:i/>
      <w:iCs/>
      <w:color w:val="0F4761" w:themeColor="accent1" w:themeShade="BF"/>
    </w:rPr>
  </w:style>
  <w:style w:type="paragraph" w:styleId="IntenseQuote">
    <w:name w:val="Intense Quote"/>
    <w:basedOn w:val="Normal"/>
    <w:next w:val="Normal"/>
    <w:link w:val="IntenseQuoteChar"/>
    <w:uiPriority w:val="30"/>
    <w:qFormat/>
    <w:rsid w:val="00C315D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315D2"/>
    <w:rPr>
      <w:i/>
      <w:iCs/>
      <w:color w:val="0F4761" w:themeColor="accent1" w:themeShade="BF"/>
    </w:rPr>
  </w:style>
  <w:style w:type="character" w:styleId="IntenseReference">
    <w:name w:val="Intense Reference"/>
    <w:basedOn w:val="DefaultParagraphFont"/>
    <w:uiPriority w:val="32"/>
    <w:qFormat/>
    <w:rsid w:val="00C315D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8069793">
      <w:bodyDiv w:val="1"/>
      <w:marLeft w:val="0"/>
      <w:marRight w:val="0"/>
      <w:marTop w:val="0"/>
      <w:marBottom w:val="0"/>
      <w:divBdr>
        <w:top w:val="none" w:sz="0" w:space="0" w:color="auto"/>
        <w:left w:val="none" w:sz="0" w:space="0" w:color="auto"/>
        <w:bottom w:val="none" w:sz="0" w:space="0" w:color="auto"/>
        <w:right w:val="none" w:sz="0" w:space="0" w:color="auto"/>
      </w:divBdr>
    </w:div>
    <w:div w:id="1250431949">
      <w:bodyDiv w:val="1"/>
      <w:marLeft w:val="0"/>
      <w:marRight w:val="0"/>
      <w:marTop w:val="0"/>
      <w:marBottom w:val="0"/>
      <w:divBdr>
        <w:top w:val="none" w:sz="0" w:space="0" w:color="auto"/>
        <w:left w:val="none" w:sz="0" w:space="0" w:color="auto"/>
        <w:bottom w:val="none" w:sz="0" w:space="0" w:color="auto"/>
        <w:right w:val="none" w:sz="0" w:space="0" w:color="auto"/>
      </w:divBdr>
    </w:div>
    <w:div w:id="1384137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C054142C5B5D4B8C99E9FB10779CAB" ma:contentTypeVersion="18" ma:contentTypeDescription="Create a new document." ma:contentTypeScope="" ma:versionID="82fa6b8bbe5aa1e5a147898ce11eee45">
  <xsd:schema xmlns:xsd="http://www.w3.org/2001/XMLSchema" xmlns:xs="http://www.w3.org/2001/XMLSchema" xmlns:p="http://schemas.microsoft.com/office/2006/metadata/properties" xmlns:ns2="4a84e3ec-4587-4418-b23a-bd5009477010" xmlns:ns3="79faf93c-7b46-4b26-8966-6d698e8b4062" targetNamespace="http://schemas.microsoft.com/office/2006/metadata/properties" ma:root="true" ma:fieldsID="4aa8403be6c3a7d49ea4b008b126b62c" ns2:_="" ns3:_="">
    <xsd:import namespace="4a84e3ec-4587-4418-b23a-bd5009477010"/>
    <xsd:import namespace="79faf93c-7b46-4b26-8966-6d698e8b406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84e3ec-4587-4418-b23a-bd50094770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2d0f5a8-1cae-497c-8626-323dd4f94be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9faf93c-7b46-4b26-8966-6d698e8b406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2c48bb7-3aca-46f5-8d8e-a282f3998c12}" ma:internalName="TaxCatchAll" ma:showField="CatchAllData" ma:web="79faf93c-7b46-4b26-8966-6d698e8b406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a84e3ec-4587-4418-b23a-bd5009477010">
      <Terms xmlns="http://schemas.microsoft.com/office/infopath/2007/PartnerControls"/>
    </lcf76f155ced4ddcb4097134ff3c332f>
    <TaxCatchAll xmlns="79faf93c-7b46-4b26-8966-6d698e8b406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C4A3A71-59EB-4D37-B60C-752E21A3FD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84e3ec-4587-4418-b23a-bd5009477010"/>
    <ds:schemaRef ds:uri="79faf93c-7b46-4b26-8966-6d698e8b40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30FB8FF-F624-4CD8-B1B7-331FFFAAAFAC}">
  <ds:schemaRefs>
    <ds:schemaRef ds:uri="http://schemas.microsoft.com/office/2006/metadata/properties"/>
    <ds:schemaRef ds:uri="http://schemas.microsoft.com/office/infopath/2007/PartnerControls"/>
    <ds:schemaRef ds:uri="4a84e3ec-4587-4418-b23a-bd5009477010"/>
    <ds:schemaRef ds:uri="79faf93c-7b46-4b26-8966-6d698e8b4062"/>
  </ds:schemaRefs>
</ds:datastoreItem>
</file>

<file path=customXml/itemProps3.xml><?xml version="1.0" encoding="utf-8"?>
<ds:datastoreItem xmlns:ds="http://schemas.openxmlformats.org/officeDocument/2006/customXml" ds:itemID="{31DDCDBB-A434-4396-8F0D-5A6A543FC4D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346</Words>
  <Characters>2249</Characters>
  <Application>Microsoft Office Word</Application>
  <DocSecurity>0</DocSecurity>
  <Lines>36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Thanh Phan</dc:creator>
  <cp:keywords/>
  <dc:description/>
  <cp:lastModifiedBy>Hudson Polonini</cp:lastModifiedBy>
  <cp:revision>2</cp:revision>
  <dcterms:created xsi:type="dcterms:W3CDTF">2025-05-26T12:01:00Z</dcterms:created>
  <dcterms:modified xsi:type="dcterms:W3CDTF">2025-05-26T12:01:00Z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0x01010004C054142C5B5D4B8C99E9FB10779CAB</vt:lpwstr>
  </property>
  <property fmtid="{D5CDD505-2E9C-101B-9397-08002B2CF9AE}" pid="3" name="MediaServiceImageTags">
    <vt:lpwstr/>
  </property>
  <property fmtid="{D5CDD505-2E9C-101B-9397-08002B2CF9AE}" pid="4" name="GrammarlyDocumentId">
    <vt:lpwstr>9f9a4be7-bb55-4e48-a5be-2bc9c18bd92c</vt:lpwstr>
  </property>
</Properties>
</file>