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124116B0" w:rsidR="00C315D2" w:rsidRPr="00C315D2" w:rsidRDefault="00A10D69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A10D6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Optical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M</w:t>
      </w:r>
      <w:r w:rsidRPr="00A10D6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ethod for Real-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</w:t>
      </w:r>
      <w:r w:rsidRPr="00A10D6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ime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</w:t>
      </w:r>
      <w:r w:rsidRPr="00A10D6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esting of Respirable Powder Dissolution</w:t>
      </w:r>
    </w:p>
    <w:p w14:paraId="262CF548" w14:textId="03B0184D" w:rsidR="00A10D69" w:rsidRPr="00A10D69" w:rsidRDefault="00A10D69" w:rsidP="00A10D6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Taye T. Mekonnen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Xinyu Cai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0F4D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0F4DF4" w:rsidRPr="000F4DF4">
        <w:t xml:space="preserve"> </w:t>
      </w:r>
      <w:r w:rsidR="000F4DF4" w:rsidRPr="000F4D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Athiya Azeem</w:t>
      </w:r>
      <w:r w:rsidR="000F4DF4" w:rsidRPr="000F4DF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0F4D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Shaokoon</w:t>
      </w:r>
      <w:proofErr w:type="spellEnd"/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Cheng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FD1AD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,3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Hak-Kim Chan</w:t>
      </w:r>
      <w:r w:rsidR="00FD1AD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,3</w:t>
      </w:r>
      <w:r w:rsidR="00E80CF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,4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Agisilaos Kourmatzis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FD1AD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,3</w:t>
      </w:r>
    </w:p>
    <w:p w14:paraId="25CA902B" w14:textId="0B6DF684" w:rsidR="00A10D69" w:rsidRDefault="00A10D69" w:rsidP="00A10D6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School of </w:t>
      </w:r>
      <w:r w:rsidR="00FD1A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Aerospace, Mechanical &amp; Mechatronic 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Engineering, The University of Sydney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NSW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Australia.</w:t>
      </w:r>
    </w:p>
    <w:p w14:paraId="67098042" w14:textId="0F4E0790" w:rsidR="00A10D69" w:rsidRDefault="00A10D69" w:rsidP="00A10D6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Engineering, Macquarie University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NSW, Australia</w:t>
      </w:r>
      <w:r w:rsidR="000F4D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73996501" w14:textId="10949D78" w:rsidR="000F4DF4" w:rsidRPr="00A10D69" w:rsidRDefault="000F4DF4" w:rsidP="000F4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ASK Scientia Pty Ltd</w:t>
      </w:r>
      <w:r w:rsidRPr="000F4DF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NSW, Australia</w:t>
      </w:r>
    </w:p>
    <w:p w14:paraId="79141BD9" w14:textId="3850100C" w:rsidR="00C315D2" w:rsidRPr="00C315D2" w:rsidRDefault="00A10D69" w:rsidP="00A10D6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 Pharmacy School, The University of Sydney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A10D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NSW, Australia</w:t>
      </w:r>
    </w:p>
    <w:p w14:paraId="2DD37039" w14:textId="4AFBA433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3E4D433C" w14:textId="6C093AE8" w:rsidR="001838B0" w:rsidRDefault="000714CE" w:rsidP="000714CE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1838B0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Background and </w:t>
      </w:r>
      <w:proofErr w:type="gramStart"/>
      <w:r w:rsidRPr="001838B0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Aims</w:t>
      </w:r>
      <w:proofErr w:type="gramEnd"/>
      <w:r w:rsidRPr="000714C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1838B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With increasing demand for pulmonary drug delivery, there is a pressing need for rapid </w:t>
      </w:r>
      <w:r w:rsidR="00457A78" w:rsidRPr="00457A78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in vitro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tools to assess drug formulation dissolution, improving </w:t>
      </w:r>
      <w:r w:rsid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n </w:t>
      </w:r>
      <w:r w:rsid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v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itro–</w:t>
      </w:r>
      <w:r w:rsid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n </w:t>
      </w:r>
      <w:r w:rsid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v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ivo </w:t>
      </w:r>
      <w:r w:rsid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orrelation</w:t>
      </w:r>
      <w:r w:rsid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and batch testing.</w:t>
      </w:r>
      <w:r w:rsidR="001838B0" w:rsidRPr="001838B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Existing analytical methods are slow, labor-intensive, and poorly suited for</w:t>
      </w:r>
      <w:r w:rsidR="00113D6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measurement in environments that mimic </w:t>
      </w:r>
      <w:r w:rsidR="00457A78" w:rsidRPr="00113D68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in</w:t>
      </w:r>
      <w:r w:rsidR="00113D68" w:rsidRPr="00113D68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457A78" w:rsidRPr="00113D68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vivo</w:t>
      </w:r>
      <w:r w:rsidR="00113D6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conditions</w:t>
      </w:r>
      <w:r w:rsidR="008035ED" w:rsidRPr="008035ED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="00A10D69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,2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This study presents a non-destructive optical approach for real-time characterization of inhalable drug powder dissolution</w:t>
      </w:r>
      <w:r w:rsid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behaviour</w:t>
      </w:r>
      <w:r w:rsidR="00457A78" w:rsidRPr="00457A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168562C8" w14:textId="3A4C03C3" w:rsidR="00FE3299" w:rsidRPr="000F4DF4" w:rsidRDefault="000714CE" w:rsidP="00D7384C">
      <w:pPr>
        <w:jc w:val="both"/>
        <w:rPr>
          <w:rFonts w:ascii="Arial" w:hAnsi="Arial" w:cs="Arial"/>
          <w:sz w:val="20"/>
          <w:szCs w:val="20"/>
        </w:rPr>
      </w:pPr>
      <w:r w:rsidRPr="006C135B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Methods.</w:t>
      </w:r>
      <w:r w:rsidR="001838B0" w:rsidRPr="006C135B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r w:rsidR="00113D68" w:rsidRPr="000F4DF4">
        <w:rPr>
          <w:rFonts w:ascii="Arial" w:hAnsi="Arial" w:cs="Arial"/>
          <w:sz w:val="20"/>
          <w:szCs w:val="20"/>
          <w:lang w:val="en-US"/>
        </w:rPr>
        <w:t xml:space="preserve">An optical dissolution testing method was developed using a custom optical coherence tomography (OCT) </w:t>
      </w:r>
      <w:r w:rsidR="000F4DF4">
        <w:rPr>
          <w:rFonts w:ascii="Arial" w:hAnsi="Arial" w:cs="Arial"/>
          <w:sz w:val="20"/>
          <w:szCs w:val="20"/>
          <w:lang w:val="en-US"/>
        </w:rPr>
        <w:t>probe</w:t>
      </w:r>
      <w:r w:rsidR="008035ED" w:rsidRPr="000F4DF4">
        <w:rPr>
          <w:rFonts w:ascii="Arial" w:hAnsi="Arial" w:cs="Arial"/>
          <w:sz w:val="20"/>
          <w:szCs w:val="20"/>
          <w:vertAlign w:val="superscript"/>
        </w:rPr>
        <w:t>2</w:t>
      </w:r>
      <w:r w:rsidR="00113D68" w:rsidRPr="000F4DF4">
        <w:rPr>
          <w:rFonts w:ascii="Arial" w:hAnsi="Arial" w:cs="Arial"/>
          <w:sz w:val="20"/>
          <w:szCs w:val="20"/>
          <w:lang w:val="en-US"/>
        </w:rPr>
        <w:t>. This probe</w:t>
      </w:r>
      <w:r w:rsidR="000F4DF4">
        <w:rPr>
          <w:rFonts w:ascii="Arial" w:hAnsi="Arial" w:cs="Arial"/>
          <w:sz w:val="20"/>
          <w:szCs w:val="20"/>
          <w:lang w:val="en-US"/>
        </w:rPr>
        <w:t>,</w:t>
      </w:r>
      <w:r w:rsidR="00113D68" w:rsidRPr="000F4DF4">
        <w:rPr>
          <w:rFonts w:ascii="Arial" w:hAnsi="Arial" w:cs="Arial"/>
          <w:sz w:val="20"/>
          <w:szCs w:val="20"/>
          <w:lang w:val="en-US"/>
        </w:rPr>
        <w:t xml:space="preserve"> integrated directly into a custom dissolution chamber, continuously tracked solution concentration by detecting changes in the refractive index of </w:t>
      </w:r>
      <w:r w:rsidR="00980981">
        <w:rPr>
          <w:rFonts w:ascii="Arial" w:hAnsi="Arial" w:cs="Arial"/>
          <w:sz w:val="20"/>
          <w:szCs w:val="20"/>
          <w:lang w:val="en-US"/>
        </w:rPr>
        <w:t>a</w:t>
      </w:r>
      <w:r w:rsidR="00113D68" w:rsidRPr="000F4DF4">
        <w:rPr>
          <w:rFonts w:ascii="Arial" w:hAnsi="Arial" w:cs="Arial"/>
          <w:sz w:val="20"/>
          <w:szCs w:val="20"/>
          <w:lang w:val="en-US"/>
        </w:rPr>
        <w:t xml:space="preserve"> dissolution media. </w:t>
      </w:r>
      <w:r w:rsidR="00811ECF" w:rsidRPr="000F4DF4">
        <w:rPr>
          <w:rFonts w:ascii="Arial" w:hAnsi="Arial" w:cs="Arial"/>
          <w:sz w:val="20"/>
          <w:szCs w:val="20"/>
          <w:lang w:val="en-US"/>
        </w:rPr>
        <w:t>To validate the system's accuracy,</w:t>
      </w:r>
      <w:r w:rsidR="00966FE6" w:rsidRPr="000F4DF4">
        <w:rPr>
          <w:rFonts w:ascii="Arial" w:hAnsi="Arial" w:cs="Arial"/>
          <w:sz w:val="20"/>
          <w:szCs w:val="20"/>
        </w:rPr>
        <w:t xml:space="preserve"> solution</w:t>
      </w:r>
      <w:r w:rsidR="00C20B1D">
        <w:rPr>
          <w:rFonts w:ascii="Arial" w:hAnsi="Arial" w:cs="Arial"/>
          <w:sz w:val="20"/>
          <w:szCs w:val="20"/>
        </w:rPr>
        <w:t>s</w:t>
      </w:r>
      <w:r w:rsidR="00966FE6" w:rsidRPr="000F4DF4">
        <w:rPr>
          <w:rFonts w:ascii="Arial" w:hAnsi="Arial" w:cs="Arial"/>
          <w:sz w:val="20"/>
          <w:szCs w:val="20"/>
        </w:rPr>
        <w:t xml:space="preserve"> </w:t>
      </w:r>
      <w:r w:rsidR="00966FE6" w:rsidRPr="000F4DF4">
        <w:rPr>
          <w:rFonts w:ascii="Arial" w:hAnsi="Arial" w:cs="Arial"/>
          <w:sz w:val="20"/>
          <w:szCs w:val="20"/>
          <w:lang w:val="en-US"/>
        </w:rPr>
        <w:t xml:space="preserve">of ethanol, water and </w:t>
      </w:r>
      <w:r w:rsidR="00966FE6" w:rsidRPr="000F4DF4">
        <w:rPr>
          <w:rFonts w:ascii="Arial" w:hAnsi="Arial" w:cs="Arial"/>
          <w:sz w:val="20"/>
          <w:szCs w:val="20"/>
        </w:rPr>
        <w:t>known</w:t>
      </w:r>
      <w:r w:rsidR="00966FE6" w:rsidRPr="000F4DF4">
        <w:rPr>
          <w:rFonts w:ascii="Arial" w:hAnsi="Arial" w:cs="Arial"/>
          <w:sz w:val="20"/>
          <w:szCs w:val="20"/>
          <w:lang w:val="en-US"/>
        </w:rPr>
        <w:t xml:space="preserve"> concentrations of mannitol powder </w:t>
      </w:r>
      <w:r w:rsidR="00811ECF" w:rsidRPr="000F4DF4">
        <w:rPr>
          <w:rFonts w:ascii="Arial" w:hAnsi="Arial" w:cs="Arial"/>
          <w:sz w:val="20"/>
          <w:szCs w:val="20"/>
          <w:lang w:val="en-US"/>
        </w:rPr>
        <w:t xml:space="preserve">were measured and compared against a standard </w:t>
      </w:r>
      <w:r w:rsidR="0046375D" w:rsidRPr="000F4DF4">
        <w:rPr>
          <w:rFonts w:ascii="Arial" w:hAnsi="Arial" w:cs="Arial"/>
          <w:sz w:val="20"/>
          <w:szCs w:val="20"/>
        </w:rPr>
        <w:t>refractive index detector (RID)</w:t>
      </w:r>
      <w:r w:rsidR="00811ECF" w:rsidRPr="000F4DF4">
        <w:rPr>
          <w:rFonts w:ascii="Arial" w:hAnsi="Arial" w:cs="Arial"/>
          <w:sz w:val="20"/>
          <w:szCs w:val="20"/>
          <w:lang w:val="en-US"/>
        </w:rPr>
        <w:t>.</w:t>
      </w:r>
      <w:r w:rsidR="00811ECF" w:rsidRPr="000F4DF4">
        <w:rPr>
          <w:rFonts w:ascii="Arial" w:hAnsi="Arial" w:cs="Arial"/>
          <w:sz w:val="20"/>
          <w:szCs w:val="20"/>
        </w:rPr>
        <w:t xml:space="preserve"> </w:t>
      </w:r>
      <w:r w:rsidR="00401215" w:rsidRPr="00401215">
        <w:rPr>
          <w:rFonts w:ascii="Arial" w:hAnsi="Arial" w:cs="Arial"/>
          <w:sz w:val="20"/>
          <w:szCs w:val="20"/>
        </w:rPr>
        <w:t>Further measurements were conducted using powder formulations with varying particle sizes, active ingredients</w:t>
      </w:r>
      <w:r w:rsidR="00401215">
        <w:rPr>
          <w:rFonts w:ascii="Arial" w:hAnsi="Arial" w:cs="Arial"/>
          <w:sz w:val="20"/>
          <w:szCs w:val="20"/>
        </w:rPr>
        <w:t xml:space="preserve"> </w:t>
      </w:r>
      <w:r w:rsidR="00401215" w:rsidRPr="00401215">
        <w:rPr>
          <w:rFonts w:ascii="Arial" w:hAnsi="Arial" w:cs="Arial"/>
          <w:sz w:val="20"/>
          <w:szCs w:val="20"/>
        </w:rPr>
        <w:t xml:space="preserve">and excipient content, manually added to the </w:t>
      </w:r>
      <w:r w:rsidR="00401215">
        <w:rPr>
          <w:rFonts w:ascii="Arial" w:hAnsi="Arial" w:cs="Arial"/>
          <w:sz w:val="20"/>
          <w:szCs w:val="20"/>
        </w:rPr>
        <w:t xml:space="preserve">dissolution </w:t>
      </w:r>
      <w:r w:rsidR="00401215" w:rsidRPr="00401215">
        <w:rPr>
          <w:rFonts w:ascii="Arial" w:hAnsi="Arial" w:cs="Arial"/>
          <w:sz w:val="20"/>
          <w:szCs w:val="20"/>
        </w:rPr>
        <w:t xml:space="preserve">chamber to evaluate the sensitivity of the </w:t>
      </w:r>
      <w:r w:rsidR="00401215">
        <w:rPr>
          <w:rFonts w:ascii="Arial" w:hAnsi="Arial" w:cs="Arial"/>
          <w:sz w:val="20"/>
          <w:szCs w:val="20"/>
        </w:rPr>
        <w:t>optical</w:t>
      </w:r>
      <w:r w:rsidR="00401215" w:rsidRPr="00401215">
        <w:rPr>
          <w:rFonts w:ascii="Arial" w:hAnsi="Arial" w:cs="Arial"/>
          <w:sz w:val="20"/>
          <w:szCs w:val="20"/>
        </w:rPr>
        <w:t xml:space="preserve"> sensor</w:t>
      </w:r>
      <w:r w:rsidR="003D46D2">
        <w:rPr>
          <w:rFonts w:ascii="Arial" w:hAnsi="Arial" w:cs="Arial"/>
          <w:sz w:val="20"/>
          <w:szCs w:val="20"/>
        </w:rPr>
        <w:t>.</w:t>
      </w:r>
    </w:p>
    <w:p w14:paraId="62A684F4" w14:textId="6BA4E79A" w:rsidR="00811ECF" w:rsidRDefault="000714CE" w:rsidP="000F4DF4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1838B0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Results.</w:t>
      </w:r>
      <w:r w:rsidR="001838B0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r w:rsidR="00811ECF" w:rsidRPr="00811EC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Results showed that the developed optical dissolution testing method accurately tracked solution concentration through refractive index changes. Initial validation confirmed the system's accuracy, as refractive index measurements of known </w:t>
      </w:r>
      <w:r w:rsidR="004B1B5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solutions</w:t>
      </w:r>
      <w:r w:rsidR="00811ECF" w:rsidRPr="00811EC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showed </w:t>
      </w:r>
      <w:r w:rsidR="004B1B5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good</w:t>
      </w:r>
      <w:r w:rsidR="00811ECF" w:rsidRPr="00811EC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agreement </w:t>
      </w:r>
      <w:r w:rsidR="003D46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(R</w:t>
      </w:r>
      <w:r w:rsidR="003D46D2" w:rsidRPr="00ED4FC4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="003D46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&gt;0.9) </w:t>
      </w:r>
      <w:r w:rsidR="00811ECF" w:rsidRPr="00811EC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with those obtained using a standard refractometry method</w:t>
      </w:r>
      <w:r w:rsidR="003D46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(Fig. 1(a))</w:t>
      </w:r>
      <w:r w:rsidR="00811ECF" w:rsidRPr="00811EC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The system also demonstrated high sensitivity to variations in powder </w:t>
      </w:r>
      <w:r w:rsidR="003D46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characteristics (e.g., particle size, </w:t>
      </w:r>
      <w:r w:rsidR="003D46D2" w:rsidRPr="00811EC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active ingredient and excipient content</w:t>
      </w:r>
      <w:r w:rsidR="003D46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), with d</w:t>
      </w:r>
      <w:r w:rsidR="00811ECF" w:rsidRPr="00811EC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istinct dissolution profiles observed across different </w:t>
      </w:r>
      <w:r w:rsidR="00151C5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drug powders</w:t>
      </w:r>
      <w:r w:rsidR="003D46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as shown in Fig. 1(b). </w:t>
      </w:r>
    </w:p>
    <w:p w14:paraId="7760F847" w14:textId="77777777" w:rsidR="00B53B1C" w:rsidRDefault="00B53B1C" w:rsidP="000F4DF4">
      <w:pPr>
        <w:keepNext/>
        <w:spacing w:after="0"/>
        <w:jc w:val="center"/>
      </w:pPr>
      <w:r>
        <w:rPr>
          <w:rFonts w:ascii="Arial" w:eastAsia="Calibri" w:hAnsi="Arial" w:cs="Calibri"/>
          <w:bCs/>
          <w:noProof/>
          <w:kern w:val="0"/>
          <w:sz w:val="20"/>
          <w:szCs w:val="20"/>
          <w:lang w:val="en-US"/>
        </w:rPr>
        <w:drawing>
          <wp:inline distT="0" distB="0" distL="0" distR="0" wp14:anchorId="75808942" wp14:editId="32D01AC2">
            <wp:extent cx="4433558" cy="1526226"/>
            <wp:effectExtent l="0" t="0" r="5715" b="0"/>
            <wp:docPr id="247211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1128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558" cy="152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873D" w14:textId="64804006" w:rsidR="00C55455" w:rsidRPr="00C55455" w:rsidRDefault="00B53B1C" w:rsidP="00C55455">
      <w:pPr>
        <w:pStyle w:val="Caption"/>
        <w:jc w:val="both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4B1B58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Figure </w:t>
      </w:r>
      <w:r w:rsidRPr="004B1B58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4B1B58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instrText xml:space="preserve"> SEQ Figure \* ARABIC </w:instrText>
      </w:r>
      <w:r w:rsidRPr="004B1B58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4B1B58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4B1B58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724703" w:rsidRPr="004B1B58">
        <w:rPr>
          <w:rFonts w:ascii="Arial" w:hAnsi="Arial" w:cs="Arial"/>
          <w:color w:val="auto"/>
          <w:sz w:val="20"/>
          <w:szCs w:val="20"/>
        </w:rPr>
        <w:t>.</w:t>
      </w:r>
      <w:r w:rsidR="00724703" w:rsidRPr="004B1B58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(a) Comparison of refractive index measurements between the proposed method and RID using ethanol, tap water, and three mannitol concentrations (1%, 3.13%, and 5.25% w/w). (b) Typical dissolution profiles of 40mg of lactose powders (SV010 (Dv50 = 109 µm), LH300 (Dv50 = 5 µm)), a lactose-salbutamol </w:t>
      </w:r>
      <w:proofErr w:type="spellStart"/>
      <w:r w:rsidR="00724703" w:rsidRPr="004B1B58">
        <w:rPr>
          <w:rFonts w:ascii="Arial" w:hAnsi="Arial" w:cs="Arial"/>
          <w:i w:val="0"/>
          <w:iCs w:val="0"/>
          <w:color w:val="auto"/>
          <w:sz w:val="20"/>
          <w:szCs w:val="20"/>
        </w:rPr>
        <w:t>sulfate</w:t>
      </w:r>
      <w:proofErr w:type="spellEnd"/>
      <w:r w:rsidR="00724703" w:rsidRPr="004B1B58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(SS) blend (F3: 4.5% SS, 5% LH300, 90.5% SV010), and commercial </w:t>
      </w:r>
      <w:proofErr w:type="spellStart"/>
      <w:r w:rsidR="00724703" w:rsidRPr="004B1B58">
        <w:rPr>
          <w:rFonts w:ascii="Arial" w:hAnsi="Arial" w:cs="Arial"/>
          <w:i w:val="0"/>
          <w:iCs w:val="0"/>
          <w:color w:val="auto"/>
          <w:sz w:val="20"/>
          <w:szCs w:val="20"/>
        </w:rPr>
        <w:t>Aridol</w:t>
      </w:r>
      <w:proofErr w:type="spellEnd"/>
      <w:r w:rsidR="00724703" w:rsidRPr="004B1B58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(mannitol) in 16mL tap water</w:t>
      </w:r>
      <w:r w:rsidR="00C5545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, </w:t>
      </w:r>
      <w:r w:rsidR="00C55455" w:rsidRPr="00C55455">
        <w:rPr>
          <w:rFonts w:ascii="Arial" w:hAnsi="Arial" w:cs="Arial"/>
          <w:i w:val="0"/>
          <w:iCs w:val="0"/>
          <w:color w:val="auto"/>
          <w:sz w:val="20"/>
          <w:szCs w:val="20"/>
        </w:rPr>
        <w:t>which was continuously stirred magnetically during measurement.</w:t>
      </w:r>
    </w:p>
    <w:p w14:paraId="4227138B" w14:textId="2C0EAFE1" w:rsidR="000714CE" w:rsidRDefault="000714CE" w:rsidP="000714CE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1838B0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Conclusion</w:t>
      </w:r>
      <w:r w:rsidR="001838B0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/Discussion. </w:t>
      </w:r>
      <w:r w:rsidR="002110B6" w:rsidRPr="002110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</w:t>
      </w:r>
      <w:r w:rsidR="00FD1AD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</w:t>
      </w:r>
      <w:r w:rsidR="002110B6" w:rsidRPr="002110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OCT-based platform provides real-time, in situ insights into the dissolution behavior of inhalable drugs. Its speed, reproducibility, and capability to function in physiologically relevant environments, such as diffusion-based dissolution setups, </w:t>
      </w:r>
      <w:proofErr w:type="gramStart"/>
      <w:r w:rsidR="002110B6" w:rsidRPr="002110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make</w:t>
      </w:r>
      <w:r w:rsidR="00FD1AD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</w:t>
      </w:r>
      <w:proofErr w:type="gramEnd"/>
      <w:r w:rsidR="002110B6" w:rsidRPr="002110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it valuable for rapid batch screening and formulation optimization.</w:t>
      </w:r>
    </w:p>
    <w:p w14:paraId="057A3025" w14:textId="643F762E" w:rsidR="008035ED" w:rsidRPr="00C315D2" w:rsidRDefault="008035ED" w:rsidP="008035E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E9A62FE" w14:textId="68380D34" w:rsidR="008035ED" w:rsidRPr="00401215" w:rsidRDefault="00A10D69" w:rsidP="00401215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01215">
        <w:rPr>
          <w:rFonts w:ascii="Arial" w:hAnsi="Arial" w:cs="Arial"/>
          <w:sz w:val="20"/>
          <w:szCs w:val="20"/>
          <w:lang w:val="en-US"/>
        </w:rPr>
        <w:t xml:space="preserve">(1) </w:t>
      </w:r>
      <w:r w:rsidR="008035ED" w:rsidRPr="00401215">
        <w:rPr>
          <w:rFonts w:ascii="Arial" w:hAnsi="Arial" w:cs="Arial"/>
          <w:sz w:val="20"/>
          <w:szCs w:val="20"/>
          <w:lang w:val="en-US"/>
        </w:rPr>
        <w:t>Wang, Q</w:t>
      </w:r>
      <w:r w:rsidRPr="00401215">
        <w:rPr>
          <w:rFonts w:ascii="Arial" w:hAnsi="Arial" w:cs="Arial"/>
          <w:sz w:val="20"/>
          <w:szCs w:val="20"/>
          <w:lang w:val="en-US"/>
        </w:rPr>
        <w:t>. et al</w:t>
      </w:r>
      <w:r w:rsidR="008035ED" w:rsidRPr="00401215">
        <w:rPr>
          <w:rFonts w:ascii="Arial" w:hAnsi="Arial" w:cs="Arial"/>
          <w:sz w:val="20"/>
          <w:szCs w:val="20"/>
          <w:lang w:val="en-US"/>
        </w:rPr>
        <w:t xml:space="preserve"> (2006) Dissolution Technologies, 13(3), 6–13.</w:t>
      </w:r>
    </w:p>
    <w:p w14:paraId="7FD67486" w14:textId="309BAAFB" w:rsidR="008035ED" w:rsidRPr="00401215" w:rsidRDefault="00A10D69" w:rsidP="00401215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01215">
        <w:rPr>
          <w:rFonts w:ascii="Arial" w:hAnsi="Arial" w:cs="Arial"/>
          <w:sz w:val="20"/>
          <w:szCs w:val="20"/>
          <w:lang w:val="en-US"/>
        </w:rPr>
        <w:t xml:space="preserve">(2) </w:t>
      </w:r>
      <w:r w:rsidRPr="00401215">
        <w:rPr>
          <w:rFonts w:ascii="Arial" w:hAnsi="Arial" w:cs="Arial"/>
          <w:sz w:val="20"/>
          <w:szCs w:val="20"/>
        </w:rPr>
        <w:t xml:space="preserve">Arora, D. et al (2010) </w:t>
      </w:r>
      <w:r w:rsidRPr="00401215">
        <w:rPr>
          <w:rFonts w:ascii="Arial" w:hAnsi="Arial" w:cs="Arial"/>
          <w:sz w:val="20"/>
          <w:szCs w:val="20"/>
          <w:lang w:val="en-US"/>
        </w:rPr>
        <w:t>Pharmaceutical Research, 27(5), 786–795.</w:t>
      </w:r>
    </w:p>
    <w:p w14:paraId="6376D1E5" w14:textId="7D10D6BE" w:rsidR="008035ED" w:rsidRPr="00401215" w:rsidRDefault="00A10D69" w:rsidP="00401215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401215">
        <w:rPr>
          <w:rFonts w:ascii="Arial" w:hAnsi="Arial" w:cs="Arial"/>
          <w:sz w:val="20"/>
          <w:szCs w:val="20"/>
          <w:lang w:val="en-US"/>
        </w:rPr>
        <w:t xml:space="preserve">(3) </w:t>
      </w:r>
      <w:r w:rsidR="008035ED" w:rsidRPr="00401215">
        <w:rPr>
          <w:rFonts w:ascii="Arial" w:hAnsi="Arial" w:cs="Arial"/>
          <w:sz w:val="20"/>
          <w:szCs w:val="20"/>
          <w:lang w:val="en-US"/>
        </w:rPr>
        <w:t>Mekonnen, T. et al (2024) Opt. Lasers Eng., 180, 108329.</w:t>
      </w:r>
    </w:p>
    <w:sectPr w:rsidR="008035ED" w:rsidRPr="00401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714CE"/>
    <w:rsid w:val="000F4DF4"/>
    <w:rsid w:val="00107368"/>
    <w:rsid w:val="00113BB7"/>
    <w:rsid w:val="00113D68"/>
    <w:rsid w:val="00151C5E"/>
    <w:rsid w:val="001838B0"/>
    <w:rsid w:val="002017E6"/>
    <w:rsid w:val="00201FC7"/>
    <w:rsid w:val="002110B6"/>
    <w:rsid w:val="0026188D"/>
    <w:rsid w:val="00294059"/>
    <w:rsid w:val="002A2879"/>
    <w:rsid w:val="003206E4"/>
    <w:rsid w:val="003A6D5C"/>
    <w:rsid w:val="003C3B28"/>
    <w:rsid w:val="003D46D2"/>
    <w:rsid w:val="00401215"/>
    <w:rsid w:val="00437D11"/>
    <w:rsid w:val="00457A78"/>
    <w:rsid w:val="00460335"/>
    <w:rsid w:val="0046375D"/>
    <w:rsid w:val="004A51B6"/>
    <w:rsid w:val="004B1B58"/>
    <w:rsid w:val="00510CF8"/>
    <w:rsid w:val="00575A29"/>
    <w:rsid w:val="00601754"/>
    <w:rsid w:val="006715EE"/>
    <w:rsid w:val="00672F90"/>
    <w:rsid w:val="006A34BE"/>
    <w:rsid w:val="006C135B"/>
    <w:rsid w:val="006F3F1C"/>
    <w:rsid w:val="007141F2"/>
    <w:rsid w:val="00724703"/>
    <w:rsid w:val="007561D8"/>
    <w:rsid w:val="007751AD"/>
    <w:rsid w:val="00795378"/>
    <w:rsid w:val="00796206"/>
    <w:rsid w:val="007C367E"/>
    <w:rsid w:val="008035ED"/>
    <w:rsid w:val="008071C5"/>
    <w:rsid w:val="00811ECF"/>
    <w:rsid w:val="00850A28"/>
    <w:rsid w:val="0089166B"/>
    <w:rsid w:val="00906D34"/>
    <w:rsid w:val="00933DC9"/>
    <w:rsid w:val="00936D4C"/>
    <w:rsid w:val="009523F9"/>
    <w:rsid w:val="009650DF"/>
    <w:rsid w:val="00966FE6"/>
    <w:rsid w:val="00975E61"/>
    <w:rsid w:val="00980981"/>
    <w:rsid w:val="009B1CBB"/>
    <w:rsid w:val="009F2854"/>
    <w:rsid w:val="00A0516D"/>
    <w:rsid w:val="00A10D69"/>
    <w:rsid w:val="00AA6218"/>
    <w:rsid w:val="00B346CA"/>
    <w:rsid w:val="00B4721D"/>
    <w:rsid w:val="00B53B1C"/>
    <w:rsid w:val="00B8473A"/>
    <w:rsid w:val="00BD092E"/>
    <w:rsid w:val="00C20B1D"/>
    <w:rsid w:val="00C21815"/>
    <w:rsid w:val="00C315D2"/>
    <w:rsid w:val="00C353D8"/>
    <w:rsid w:val="00C50B5A"/>
    <w:rsid w:val="00C55455"/>
    <w:rsid w:val="00CF5A91"/>
    <w:rsid w:val="00D02BB1"/>
    <w:rsid w:val="00D45A74"/>
    <w:rsid w:val="00D7384C"/>
    <w:rsid w:val="00D7428F"/>
    <w:rsid w:val="00E80CF4"/>
    <w:rsid w:val="00EC3746"/>
    <w:rsid w:val="00EC6B03"/>
    <w:rsid w:val="00ED3528"/>
    <w:rsid w:val="00ED4FC4"/>
    <w:rsid w:val="00F539FB"/>
    <w:rsid w:val="00F85528"/>
    <w:rsid w:val="00FD1AD8"/>
    <w:rsid w:val="00FE3299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53B1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FD1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Taye Tolu Mekonnen</cp:lastModifiedBy>
  <cp:revision>2</cp:revision>
  <dcterms:created xsi:type="dcterms:W3CDTF">2025-05-30T08:34:00Z</dcterms:created>
  <dcterms:modified xsi:type="dcterms:W3CDTF">2025-05-30T08:34:00Z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