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QSAR modelling strategies for the hazard assessment of petroleum UVCB substances </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Hannah Gerstmyer</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vertAlign w:val="baseline"/>
          <w:rtl w:val="0"/>
        </w:rPr>
        <w:t xml:space="preserve">, Raymond Lui</w:t>
      </w:r>
      <w:r w:rsidDel="00000000" w:rsidR="00000000" w:rsidRPr="00000000">
        <w:rPr>
          <w:rFonts w:ascii="Calibri" w:cs="Calibri" w:eastAsia="Calibri" w:hAnsi="Calibri"/>
          <w:sz w:val="20"/>
          <w:szCs w:val="20"/>
          <w:vertAlign w:val="superscript"/>
          <w:rtl w:val="0"/>
        </w:rPr>
        <w:t xml:space="preserve">2</w:t>
      </w:r>
      <w:r w:rsidDel="00000000" w:rsidR="00000000" w:rsidRPr="00000000">
        <w:rPr>
          <w:rFonts w:ascii="Calibri" w:cs="Calibri" w:eastAsia="Calibri" w:hAnsi="Calibri"/>
          <w:sz w:val="20"/>
          <w:szCs w:val="20"/>
          <w:vertAlign w:val="baseline"/>
          <w:rtl w:val="0"/>
        </w:rPr>
        <w:t xml:space="preserve">, Slade Matthews</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vertAlign w:val="baseline"/>
          <w:rtl w:val="0"/>
        </w:rPr>
        <w:t xml:space="preserve">. Computational Pharmacology and Toxicology Laboratory, Sydney Pharmacy School, The University of Sydney</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vertAlign w:val="baseline"/>
          <w:rtl w:val="0"/>
        </w:rPr>
        <w:t xml:space="preserve">, Sydney, NSW, Australia; Australian Industrial Chemicals Introduction Scheme, Department of Health, Disability and Ageing, Australian Government</w:t>
      </w:r>
      <w:r w:rsidDel="00000000" w:rsidR="00000000" w:rsidRPr="00000000">
        <w:rPr>
          <w:rFonts w:ascii="Calibri" w:cs="Calibri" w:eastAsia="Calibri" w:hAnsi="Calibri"/>
          <w:sz w:val="20"/>
          <w:szCs w:val="20"/>
          <w:vertAlign w:val="superscript"/>
          <w:rtl w:val="0"/>
        </w:rPr>
        <w:t xml:space="preserve">2</w:t>
      </w:r>
      <w:r w:rsidDel="00000000" w:rsidR="00000000" w:rsidRPr="00000000">
        <w:rPr>
          <w:rFonts w:ascii="Calibri" w:cs="Calibri" w:eastAsia="Calibri" w:hAnsi="Calibri"/>
          <w:sz w:val="20"/>
          <w:szCs w:val="20"/>
          <w:vertAlign w:val="baseline"/>
          <w:rtl w:val="0"/>
        </w:rPr>
        <w:t xml:space="preserve">, Sydney, NSW, Australia.</w:t>
      </w:r>
    </w:p>
    <w:p w:rsidR="00000000" w:rsidDel="00000000" w:rsidP="00000000" w:rsidRDefault="00000000" w:rsidRPr="00000000" w14:paraId="00000003">
      <w:pPr>
        <w:jc w:val="both"/>
        <w:rPr>
          <w:rFonts w:ascii="Calibri" w:cs="Calibri" w:eastAsia="Calibri" w:hAnsi="Calibri"/>
          <w:sz w:val="20"/>
          <w:szCs w:val="20"/>
          <w:vertAlign w:val="baseline"/>
        </w:rPr>
      </w:pPr>
      <w:r w:rsidDel="00000000" w:rsidR="00000000" w:rsidRPr="00000000">
        <w:rPr>
          <w:rFonts w:ascii="Calibri" w:cs="Calibri" w:eastAsia="Calibri" w:hAnsi="Calibri"/>
          <w:i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Introduction.</w:t>
      </w:r>
      <w:r w:rsidDel="00000000" w:rsidR="00000000" w:rsidRPr="00000000">
        <w:rPr>
          <w:rFonts w:ascii="Calibri" w:cs="Calibri" w:eastAsia="Calibri" w:hAnsi="Calibri"/>
          <w:sz w:val="20"/>
          <w:szCs w:val="20"/>
          <w:vertAlign w:val="baseline"/>
          <w:rtl w:val="0"/>
        </w:rPr>
        <w:t xml:space="preserve"> Common chemical entities such as petroleum products, botanical extracts, and resins have large numbers of constituents whose identities and concentrations fluctuate with source material and manufacture (Prussia et al, 2024). These entities, ‘substances of unknown or variable composition, complex reaction products and biological materials’ (UVCBs) evade precise structural representation. This limits the ability of federal regulators like AICIS to use quantitative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vertAlign w:val="baseline"/>
          <w:rtl w:val="0"/>
        </w:rPr>
        <w:t xml:space="preserve">structure</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vertAlign w:val="baseline"/>
          <w:rtl w:val="0"/>
        </w:rPr>
        <w:t xml:space="preserve">activity relationship (QSAR) models in UVCB hazard assessment required for public safety. </w:t>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Fonts w:ascii="Calibri" w:cs="Calibri" w:eastAsia="Calibri" w:hAnsi="Calibri"/>
          <w:b w:val="1"/>
          <w:sz w:val="20"/>
          <w:szCs w:val="20"/>
          <w:vertAlign w:val="baseline"/>
          <w:rtl w:val="0"/>
        </w:rPr>
        <w:t xml:space="preserve">Aims.</w:t>
      </w:r>
      <w:r w:rsidDel="00000000" w:rsidR="00000000" w:rsidRPr="00000000">
        <w:rPr>
          <w:rFonts w:ascii="Calibri" w:cs="Calibri" w:eastAsia="Calibri" w:hAnsi="Calibri"/>
          <w:sz w:val="20"/>
          <w:szCs w:val="20"/>
          <w:vertAlign w:val="baseline"/>
          <w:rtl w:val="0"/>
        </w:rPr>
        <w:t xml:space="preserve"> This project aims to develop a</w:t>
      </w:r>
      <w:r w:rsidDel="00000000" w:rsidR="00000000" w:rsidRPr="00000000">
        <w:rPr>
          <w:rFonts w:ascii="Calibri" w:cs="Calibri" w:eastAsia="Calibri" w:hAnsi="Calibri"/>
          <w:sz w:val="20"/>
          <w:szCs w:val="20"/>
          <w:rtl w:val="0"/>
        </w:rPr>
        <w:t xml:space="preserve">n end-to-end QSAR modelling workflow that predicts a range of toxicity endpoints from the complex structural information of multiconstituent petroleum UVCB substances.</w:t>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Methods.</w:t>
      </w:r>
      <w:r w:rsidDel="00000000" w:rsidR="00000000" w:rsidRPr="00000000">
        <w:rPr>
          <w:rFonts w:ascii="Calibri" w:cs="Calibri" w:eastAsia="Calibri" w:hAnsi="Calibri"/>
          <w:sz w:val="20"/>
          <w:szCs w:val="20"/>
          <w:rtl w:val="0"/>
        </w:rPr>
        <w:t xml:space="preserve"> A literature review of international regulatory requirements for UVCB nomenclature and current methods of encoding UVCB substance data was completed. Structural information for a dataset of 141 petroleum UVCBs (House et al, 2020) has been collated from ECHA CHEM and will be encoded using the novel </w:t>
      </w:r>
      <w:r w:rsidDel="00000000" w:rsidR="00000000" w:rsidRPr="00000000">
        <w:rPr>
          <w:rFonts w:ascii="Calibri" w:cs="Calibri" w:eastAsia="Calibri" w:hAnsi="Calibri"/>
          <w:i w:val="1"/>
          <w:sz w:val="20"/>
          <w:szCs w:val="20"/>
          <w:rtl w:val="0"/>
        </w:rPr>
        <w:t xml:space="preserve">uvcbfile</w:t>
      </w:r>
      <w:r w:rsidDel="00000000" w:rsidR="00000000" w:rsidRPr="00000000">
        <w:rPr>
          <w:rFonts w:ascii="Calibri" w:cs="Calibri" w:eastAsia="Calibri" w:hAnsi="Calibri"/>
          <w:sz w:val="20"/>
          <w:szCs w:val="20"/>
          <w:rtl w:val="0"/>
        </w:rPr>
        <w:t xml:space="preserve"> format</w:t>
      </w:r>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sz w:val="20"/>
          <w:szCs w:val="20"/>
          <w:rtl w:val="0"/>
        </w:rPr>
        <w:t xml:space="preserve"> Markush structures and associated constituent fingerprints will be generated from these files and paired with their parent UVCBs’ bioactivity data to train a QSAR model. The performance of the model on unseen petroleum UVCBs will be assessed and compared with their existing manufacturing classifications and toxicity assay endpoints.</w:t>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Results.</w:t>
      </w:r>
      <w:r w:rsidDel="00000000" w:rsidR="00000000" w:rsidRPr="00000000">
        <w:rPr>
          <w:rFonts w:ascii="Calibri" w:cs="Calibri" w:eastAsia="Calibri" w:hAnsi="Calibri"/>
          <w:sz w:val="20"/>
          <w:szCs w:val="20"/>
          <w:rtl w:val="0"/>
        </w:rPr>
        <w:t xml:space="preserve"> The </w:t>
      </w:r>
      <w:r w:rsidDel="00000000" w:rsidR="00000000" w:rsidRPr="00000000">
        <w:rPr>
          <w:rFonts w:ascii="Calibri" w:cs="Calibri" w:eastAsia="Calibri" w:hAnsi="Calibri"/>
          <w:i w:val="1"/>
          <w:sz w:val="20"/>
          <w:szCs w:val="20"/>
          <w:rtl w:val="0"/>
        </w:rPr>
        <w:t xml:space="preserve">uvcbfile </w:t>
      </w:r>
      <w:r w:rsidDel="00000000" w:rsidR="00000000" w:rsidRPr="00000000">
        <w:rPr>
          <w:rFonts w:ascii="Calibri" w:cs="Calibri" w:eastAsia="Calibri" w:hAnsi="Calibri"/>
          <w:sz w:val="20"/>
          <w:szCs w:val="20"/>
          <w:rtl w:val="0"/>
        </w:rPr>
        <w:t xml:space="preserve">format has been developed using a JSON-based structure to encode five levels of constituent structural representation (Lai et al, 2022; Clark et al, 2019). Petroleum UVCB bioactivity data (House et al, 2020, 2022) has been collected and a workflow for augmenting structural information from ECHA CHEM has been developed.</w:t>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Discussion</w:t>
      </w:r>
      <w:r w:rsidDel="00000000" w:rsidR="00000000" w:rsidRPr="00000000">
        <w:rPr>
          <w:rFonts w:ascii="Calibri" w:cs="Calibri" w:eastAsia="Calibri" w:hAnsi="Calibri"/>
          <w:sz w:val="20"/>
          <w:szCs w:val="20"/>
          <w:rtl w:val="0"/>
        </w:rPr>
        <w:t xml:space="preserve">. It is expected that the trained QSAR model will identify key constituents of different petroleum substances that are predictive of their hazard class.  Once finalised, this methodology should also be applicable to other UVCBs.</w:t>
      </w:r>
    </w:p>
    <w:p w:rsidR="00000000" w:rsidDel="00000000" w:rsidP="00000000" w:rsidRDefault="00000000" w:rsidRPr="00000000" w14:paraId="00000009">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Clark et al (2019) J Cheminform 11:33; House et al (2020) ALTEX 1:123-137; House et al (2022) ALTEX 3:388-404; Lai et al (2022) Environ Sci Technol 56:7448-7466; Prussia et al (2024) Front Toxicol 6:1452838. </w:t>
      </w:r>
    </w:p>
    <w:sectPr>
      <w:pgSz w:h="8391" w:w="11906" w:orient="landscape"/>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120" w:lineRule="auto"/>
      <w:jc w:val="center"/>
    </w:pPr>
    <w:rPr>
      <w:b w:val="1"/>
      <w:smallCap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Indent3">
    <w:name w:val="Body Text Indent 3"/>
    <w:basedOn w:val="Normal"/>
    <w:next w:val="BodyTextIndent3"/>
    <w:autoRedefine w:val="0"/>
    <w:hidden w:val="0"/>
    <w:qFormat w:val="0"/>
    <w:pPr>
      <w:suppressAutoHyphens w:val="1"/>
      <w:spacing w:after="120" w:before="120" w:line="1" w:lineRule="atLeast"/>
      <w:ind w:left="-90" w:leftChars="-1" w:rightChars="0" w:firstLineChars="-1"/>
      <w:jc w:val="center"/>
      <w:textDirection w:val="btLr"/>
      <w:textAlignment w:val="top"/>
      <w:outlineLvl w:val="0"/>
    </w:pPr>
    <w:rPr>
      <w:rFonts w:ascii="Times" w:hAnsi="Times"/>
      <w:w w:val="100"/>
      <w:position w:val="-1"/>
      <w:sz w:val="24"/>
      <w:szCs w:val="20"/>
      <w:effect w:val="none"/>
      <w:vertAlign w:val="baseline"/>
      <w:cs w:val="0"/>
      <w:em w:val="none"/>
      <w:lang w:bidi="ar-SA" w:eastAsia="en-US" w:val="en-AU"/>
    </w:rPr>
  </w:style>
  <w:style w:type="character" w:styleId="Heading5Char">
    <w:name w:val="Heading 5 Char"/>
    <w:next w:val="Heading5Char"/>
    <w:autoRedefine w:val="0"/>
    <w:hidden w:val="0"/>
    <w:qFormat w:val="0"/>
    <w:rPr>
      <w:rFonts w:ascii="Calibri" w:cs="Times New Roman" w:eastAsia="PMingLiU" w:hAnsi="Calibri"/>
      <w:b w:val="1"/>
      <w:bCs w:val="1"/>
      <w:i w:val="1"/>
      <w:iCs w:val="1"/>
      <w:w w:val="100"/>
      <w:position w:val="-1"/>
      <w:sz w:val="26"/>
      <w:szCs w:val="26"/>
      <w:effect w:val="none"/>
      <w:vertAlign w:val="baseline"/>
      <w:cs w:val="0"/>
      <w:em w:val="none"/>
      <w:lang w:eastAsia="en-US"/>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Calibri" w:cs="Calibri" w:eastAsia="Calibri" w:hAnsi="Calibri"/>
      <w:color w:val="000000"/>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AU"/>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RNFC3Hm/XNP5ciQTJJtPb91T9Q==">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2025-09-13T23:49:00Z</dcterms:created>
  <dc:creator>Barbara Lawless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str/>
  </property>
  <property fmtid="{D5CDD505-2E9C-101B-9397-08002B2CF9AE}" pid="3" name="TaxCatchAll">
    <vt:lpstr/>
  </property>
</Properties>
</file>