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F1B9" w14:textId="79DF73BB" w:rsidR="00C315D2" w:rsidRPr="00291315" w:rsidRDefault="003477F5" w:rsidP="5E2C5F31">
      <w:pPr>
        <w:spacing w:after="0" w:line="240" w:lineRule="auto"/>
        <w:rPr>
          <w:rFonts w:ascii="Arial" w:eastAsia="Calibri" w:hAnsi="Arial" w:cs="Calibri"/>
          <w:b/>
          <w:bCs/>
          <w:kern w:val="0"/>
          <w:lang w:val="en-US"/>
          <w14:ligatures w14:val="none"/>
        </w:rPr>
      </w:pPr>
      <w:r w:rsidRPr="003477F5">
        <w:rPr>
          <w:rFonts w:ascii="Arial" w:eastAsia="Calibri" w:hAnsi="Arial" w:cs="Calibri"/>
          <w:b/>
          <w:bCs/>
          <w:kern w:val="0"/>
          <w:lang w:val="en-US"/>
          <w14:ligatures w14:val="none"/>
        </w:rPr>
        <w:t xml:space="preserve">Development Potential </w:t>
      </w:r>
      <w:r>
        <w:rPr>
          <w:rFonts w:ascii="Arial" w:eastAsia="Calibri" w:hAnsi="Arial" w:cs="Calibri"/>
          <w:b/>
          <w:bCs/>
          <w:kern w:val="0"/>
          <w:lang w:val="en-US"/>
          <w14:ligatures w14:val="none"/>
        </w:rPr>
        <w:t>o</w:t>
      </w:r>
      <w:r w:rsidRPr="003477F5">
        <w:rPr>
          <w:rFonts w:ascii="Arial" w:eastAsia="Calibri" w:hAnsi="Arial" w:cs="Calibri"/>
          <w:b/>
          <w:bCs/>
          <w:kern w:val="0"/>
          <w:lang w:val="en-US"/>
          <w14:ligatures w14:val="none"/>
        </w:rPr>
        <w:t xml:space="preserve">f Internal Quality Control Panels </w:t>
      </w:r>
      <w:r>
        <w:rPr>
          <w:rFonts w:ascii="Arial" w:eastAsia="Calibri" w:hAnsi="Arial" w:cs="Calibri"/>
          <w:b/>
          <w:bCs/>
          <w:kern w:val="0"/>
          <w:lang w:val="en-US"/>
          <w14:ligatures w14:val="none"/>
        </w:rPr>
        <w:t>f</w:t>
      </w:r>
      <w:r w:rsidRPr="003477F5">
        <w:rPr>
          <w:rFonts w:ascii="Arial" w:eastAsia="Calibri" w:hAnsi="Arial" w:cs="Calibri"/>
          <w:b/>
          <w:bCs/>
          <w:kern w:val="0"/>
          <w:lang w:val="en-US"/>
          <w14:ligatures w14:val="none"/>
        </w:rPr>
        <w:t xml:space="preserve">or Blood Glucose Testing </w:t>
      </w:r>
      <w:r>
        <w:rPr>
          <w:rFonts w:ascii="Arial" w:eastAsia="Calibri" w:hAnsi="Arial" w:cs="Calibri"/>
          <w:b/>
          <w:bCs/>
          <w:kern w:val="0"/>
          <w:lang w:val="en-US"/>
          <w14:ligatures w14:val="none"/>
        </w:rPr>
        <w:t>i</w:t>
      </w:r>
      <w:r w:rsidRPr="003477F5">
        <w:rPr>
          <w:rFonts w:ascii="Arial" w:eastAsia="Calibri" w:hAnsi="Arial" w:cs="Calibri"/>
          <w:b/>
          <w:bCs/>
          <w:kern w:val="0"/>
          <w:lang w:val="en-US"/>
          <w14:ligatures w14:val="none"/>
        </w:rPr>
        <w:t xml:space="preserve">n Laboratories </w:t>
      </w:r>
      <w:r>
        <w:rPr>
          <w:rFonts w:ascii="Arial" w:eastAsia="Calibri" w:hAnsi="Arial" w:cs="Calibri"/>
          <w:b/>
          <w:bCs/>
          <w:kern w:val="0"/>
          <w:lang w:val="en-US"/>
          <w14:ligatures w14:val="none"/>
        </w:rPr>
        <w:t>i</w:t>
      </w:r>
      <w:r w:rsidRPr="003477F5">
        <w:rPr>
          <w:rFonts w:ascii="Arial" w:eastAsia="Calibri" w:hAnsi="Arial" w:cs="Calibri"/>
          <w:b/>
          <w:bCs/>
          <w:kern w:val="0"/>
          <w:lang w:val="en-US"/>
          <w14:ligatures w14:val="none"/>
        </w:rPr>
        <w:t>n Vietnam</w:t>
      </w:r>
    </w:p>
    <w:p w14:paraId="79141BD9" w14:textId="1623E8B3" w:rsidR="00C315D2" w:rsidRPr="00291315" w:rsidRDefault="004A2263" w:rsidP="00C315D2">
      <w:pPr>
        <w:spacing w:after="0" w:line="240" w:lineRule="auto"/>
        <w:rPr>
          <w:rFonts w:ascii="Arial" w:eastAsia="Calibri" w:hAnsi="Arial" w:cs="Calibri"/>
          <w:bCs/>
          <w:kern w:val="0"/>
          <w:sz w:val="20"/>
          <w:szCs w:val="20"/>
          <w14:ligatures w14:val="none"/>
        </w:rPr>
      </w:pPr>
      <w:r w:rsidRPr="00291315">
        <w:rPr>
          <w:rFonts w:ascii="Arial" w:eastAsia="Calibri" w:hAnsi="Arial" w:cs="Calibri"/>
          <w:b/>
          <w:kern w:val="0"/>
          <w:sz w:val="20"/>
          <w:szCs w:val="20"/>
          <w:u w:val="single"/>
          <w14:ligatures w14:val="none"/>
        </w:rPr>
        <w:t>Thuan</w:t>
      </w:r>
      <w:r w:rsidR="00C315D2" w:rsidRPr="00291315">
        <w:rPr>
          <w:rFonts w:ascii="Arial" w:eastAsia="Calibri" w:hAnsi="Arial" w:cs="Calibri"/>
          <w:b/>
          <w:kern w:val="0"/>
          <w:sz w:val="20"/>
          <w:szCs w:val="20"/>
          <w:u w:val="single"/>
          <w14:ligatures w14:val="none"/>
        </w:rPr>
        <w:t xml:space="preserve"> </w:t>
      </w:r>
      <w:r w:rsidRPr="00291315">
        <w:rPr>
          <w:rFonts w:ascii="Arial" w:eastAsia="Calibri" w:hAnsi="Arial" w:cs="Calibri"/>
          <w:b/>
          <w:kern w:val="0"/>
          <w:sz w:val="20"/>
          <w:szCs w:val="20"/>
          <w:u w:val="single"/>
          <w14:ligatures w14:val="none"/>
        </w:rPr>
        <w:t>TM</w:t>
      </w:r>
      <w:r w:rsidR="00C315D2" w:rsidRPr="00291315">
        <w:rPr>
          <w:rFonts w:ascii="Arial" w:eastAsia="Calibri" w:hAnsi="Arial" w:cs="Calibri"/>
          <w:b/>
          <w:kern w:val="0"/>
          <w:sz w:val="20"/>
          <w:szCs w:val="20"/>
          <w:u w:val="single"/>
          <w14:ligatures w14:val="none"/>
        </w:rPr>
        <w:t xml:space="preserve"> </w:t>
      </w:r>
      <w:r w:rsidRPr="00291315">
        <w:rPr>
          <w:rFonts w:ascii="Arial" w:eastAsia="Calibri" w:hAnsi="Arial" w:cs="Calibri"/>
          <w:b/>
          <w:kern w:val="0"/>
          <w:sz w:val="20"/>
          <w:szCs w:val="20"/>
          <w:u w:val="single"/>
          <w14:ligatures w14:val="none"/>
        </w:rPr>
        <w:t>Nguyen</w:t>
      </w:r>
      <w:r w:rsidR="00C315D2" w:rsidRPr="00291315">
        <w:rPr>
          <w:rFonts w:ascii="Arial" w:eastAsia="Calibri" w:hAnsi="Arial" w:cs="Calibri"/>
          <w:b/>
          <w:kern w:val="0"/>
          <w:sz w:val="20"/>
          <w:szCs w:val="20"/>
          <w:u w:val="single"/>
          <w:vertAlign w:val="superscript"/>
          <w14:ligatures w14:val="none"/>
        </w:rPr>
        <w:t>1</w:t>
      </w:r>
      <w:r w:rsidR="00C315D2" w:rsidRPr="00291315">
        <w:rPr>
          <w:rFonts w:ascii="Arial" w:eastAsia="Calibri" w:hAnsi="Arial" w:cs="Calibri"/>
          <w:bCs/>
          <w:kern w:val="0"/>
          <w:sz w:val="20"/>
          <w:szCs w:val="20"/>
          <w14:ligatures w14:val="none"/>
        </w:rPr>
        <w:t xml:space="preserve">, </w:t>
      </w:r>
      <w:r w:rsidRPr="00291315">
        <w:rPr>
          <w:rFonts w:ascii="Arial" w:eastAsia="Calibri" w:hAnsi="Arial" w:cs="Calibri"/>
          <w:bCs/>
          <w:kern w:val="0"/>
          <w:sz w:val="20"/>
          <w:szCs w:val="20"/>
          <w14:ligatures w14:val="none"/>
        </w:rPr>
        <w:t>Dung</w:t>
      </w:r>
      <w:r w:rsidR="00C315D2" w:rsidRPr="00291315">
        <w:rPr>
          <w:rFonts w:ascii="Arial" w:eastAsia="Calibri" w:hAnsi="Arial" w:cs="Calibri"/>
          <w:bCs/>
          <w:kern w:val="0"/>
          <w:sz w:val="20"/>
          <w:szCs w:val="20"/>
          <w14:ligatures w14:val="none"/>
        </w:rPr>
        <w:t xml:space="preserve"> </w:t>
      </w:r>
      <w:r w:rsidRPr="00291315">
        <w:rPr>
          <w:rFonts w:ascii="Arial" w:eastAsia="Calibri" w:hAnsi="Arial" w:cs="Calibri"/>
          <w:bCs/>
          <w:kern w:val="0"/>
          <w:sz w:val="20"/>
          <w:szCs w:val="20"/>
          <w14:ligatures w14:val="none"/>
        </w:rPr>
        <w:t>TV</w:t>
      </w:r>
      <w:r w:rsidR="00C315D2" w:rsidRPr="00291315">
        <w:rPr>
          <w:rFonts w:ascii="Arial" w:eastAsia="Calibri" w:hAnsi="Arial" w:cs="Calibri"/>
          <w:bCs/>
          <w:kern w:val="0"/>
          <w:sz w:val="20"/>
          <w:szCs w:val="20"/>
          <w14:ligatures w14:val="none"/>
        </w:rPr>
        <w:t xml:space="preserve"> </w:t>
      </w:r>
      <w:r w:rsidRPr="00291315">
        <w:rPr>
          <w:rFonts w:ascii="Arial" w:eastAsia="Calibri" w:hAnsi="Arial" w:cs="Calibri"/>
          <w:bCs/>
          <w:kern w:val="0"/>
          <w:sz w:val="20"/>
          <w:szCs w:val="20"/>
          <w14:ligatures w14:val="none"/>
        </w:rPr>
        <w:t>Nguyen</w:t>
      </w:r>
      <w:r w:rsidR="00C315D2" w:rsidRPr="00291315">
        <w:rPr>
          <w:rFonts w:ascii="Arial" w:eastAsia="Calibri" w:hAnsi="Arial" w:cs="Calibri"/>
          <w:bCs/>
          <w:kern w:val="0"/>
          <w:sz w:val="20"/>
          <w:szCs w:val="20"/>
          <w:vertAlign w:val="superscript"/>
          <w14:ligatures w14:val="none"/>
        </w:rPr>
        <w:t>2</w:t>
      </w:r>
    </w:p>
    <w:p w14:paraId="02D3F49E" w14:textId="25007C52" w:rsidR="001B4F7C" w:rsidRPr="00291315" w:rsidRDefault="001B4F7C" w:rsidP="4FE71DF4">
      <w:pPr>
        <w:spacing w:after="0" w:line="240" w:lineRule="auto"/>
        <w:rPr>
          <w:rFonts w:ascii="Arial" w:eastAsia="Calibri" w:hAnsi="Arial" w:cs="Calibri"/>
          <w:bCs/>
          <w:kern w:val="0"/>
          <w:sz w:val="20"/>
          <w:szCs w:val="20"/>
          <w14:ligatures w14:val="none"/>
        </w:rPr>
      </w:pPr>
      <w:r w:rsidRPr="00291315">
        <w:rPr>
          <w:rFonts w:ascii="Arial" w:eastAsia="Calibri" w:hAnsi="Arial" w:cs="Calibri"/>
          <w:bCs/>
          <w:kern w:val="0"/>
          <w:sz w:val="20"/>
          <w:szCs w:val="20"/>
          <w14:ligatures w14:val="none"/>
        </w:rPr>
        <w:t>Department of Biochemistry, Faculty of Pharmacy, University of Medicine and Pharmacy at Ho Chi Minh City</w:t>
      </w:r>
      <w:r w:rsidRPr="00291315">
        <w:rPr>
          <w:rFonts w:ascii="Arial" w:eastAsia="Calibri" w:hAnsi="Arial" w:cs="Calibri"/>
          <w:bCs/>
          <w:kern w:val="0"/>
          <w:sz w:val="20"/>
          <w:szCs w:val="20"/>
          <w:vertAlign w:val="superscript"/>
          <w14:ligatures w14:val="none"/>
        </w:rPr>
        <w:t>1</w:t>
      </w:r>
      <w:r w:rsidRPr="00291315">
        <w:rPr>
          <w:rFonts w:ascii="Arial" w:eastAsia="Calibri" w:hAnsi="Arial" w:cs="Calibri"/>
          <w:bCs/>
          <w:kern w:val="0"/>
          <w:sz w:val="20"/>
          <w:szCs w:val="20"/>
          <w14:ligatures w14:val="none"/>
        </w:rPr>
        <w:t>, Ho Chi Minh City,</w:t>
      </w:r>
      <w:r w:rsidR="0048148C" w:rsidRPr="00291315">
        <w:rPr>
          <w:rFonts w:ascii="Arial" w:eastAsia="Calibri" w:hAnsi="Arial" w:cs="Calibri"/>
          <w:bCs/>
          <w:kern w:val="0"/>
          <w:sz w:val="20"/>
          <w:szCs w:val="20"/>
          <w14:ligatures w14:val="none"/>
        </w:rPr>
        <w:t xml:space="preserve"> </w:t>
      </w:r>
      <w:r w:rsidRPr="00291315">
        <w:rPr>
          <w:rFonts w:ascii="Arial" w:eastAsia="Calibri" w:hAnsi="Arial" w:cs="Calibri"/>
          <w:bCs/>
          <w:kern w:val="0"/>
          <w:sz w:val="20"/>
          <w:szCs w:val="20"/>
          <w14:ligatures w14:val="none"/>
        </w:rPr>
        <w:t>Viet</w:t>
      </w:r>
      <w:r w:rsidR="00386D01">
        <w:rPr>
          <w:rFonts w:ascii="Arial" w:eastAsia="Calibri" w:hAnsi="Arial" w:cs="Calibri"/>
          <w:bCs/>
          <w:kern w:val="0"/>
          <w:sz w:val="20"/>
          <w:szCs w:val="20"/>
          <w14:ligatures w14:val="none"/>
        </w:rPr>
        <w:t xml:space="preserve"> </w:t>
      </w:r>
      <w:r w:rsidRPr="00291315">
        <w:rPr>
          <w:rFonts w:ascii="Arial" w:eastAsia="Calibri" w:hAnsi="Arial" w:cs="Calibri"/>
          <w:bCs/>
          <w:kern w:val="0"/>
          <w:sz w:val="20"/>
          <w:szCs w:val="20"/>
          <w14:ligatures w14:val="none"/>
        </w:rPr>
        <w:t>Nam</w:t>
      </w:r>
    </w:p>
    <w:p w14:paraId="7DDC42ED" w14:textId="1EAE0A51" w:rsidR="001B4F7C" w:rsidRPr="00291315" w:rsidRDefault="001B4F7C" w:rsidP="4FE71DF4">
      <w:pPr>
        <w:spacing w:after="0" w:line="240" w:lineRule="auto"/>
        <w:rPr>
          <w:rFonts w:ascii="Arial" w:eastAsia="Calibri" w:hAnsi="Arial" w:cs="Calibri"/>
          <w:bCs/>
          <w:kern w:val="0"/>
          <w:sz w:val="20"/>
          <w:szCs w:val="20"/>
          <w14:ligatures w14:val="none"/>
        </w:rPr>
      </w:pPr>
      <w:r w:rsidRPr="00291315">
        <w:rPr>
          <w:rFonts w:ascii="Arial" w:eastAsia="Calibri" w:hAnsi="Arial" w:cs="Calibri"/>
          <w:bCs/>
          <w:kern w:val="0"/>
          <w:sz w:val="20"/>
          <w:szCs w:val="20"/>
          <w14:ligatures w14:val="none"/>
        </w:rPr>
        <w:t>Faculty of Medicine and Pharmacy, Tay Nguyen University</w:t>
      </w:r>
      <w:r w:rsidRPr="00291315">
        <w:rPr>
          <w:rFonts w:ascii="Arial" w:eastAsia="Calibri" w:hAnsi="Arial" w:cs="Calibri"/>
          <w:bCs/>
          <w:kern w:val="0"/>
          <w:sz w:val="20"/>
          <w:szCs w:val="20"/>
          <w:vertAlign w:val="superscript"/>
          <w14:ligatures w14:val="none"/>
        </w:rPr>
        <w:t>2</w:t>
      </w:r>
      <w:r w:rsidRPr="00291315">
        <w:rPr>
          <w:rFonts w:ascii="Arial" w:eastAsia="Calibri" w:hAnsi="Arial" w:cs="Calibri"/>
          <w:bCs/>
          <w:kern w:val="0"/>
          <w:sz w:val="20"/>
          <w:szCs w:val="20"/>
          <w14:ligatures w14:val="none"/>
        </w:rPr>
        <w:t>, Daklak Province, Viet</w:t>
      </w:r>
      <w:r w:rsidR="00386D01">
        <w:rPr>
          <w:rFonts w:ascii="Arial" w:eastAsia="Calibri" w:hAnsi="Arial" w:cs="Calibri"/>
          <w:bCs/>
          <w:kern w:val="0"/>
          <w:sz w:val="20"/>
          <w:szCs w:val="20"/>
          <w14:ligatures w14:val="none"/>
        </w:rPr>
        <w:t xml:space="preserve"> </w:t>
      </w:r>
      <w:r w:rsidRPr="00291315">
        <w:rPr>
          <w:rFonts w:ascii="Arial" w:eastAsia="Calibri" w:hAnsi="Arial" w:cs="Calibri"/>
          <w:bCs/>
          <w:kern w:val="0"/>
          <w:sz w:val="20"/>
          <w:szCs w:val="20"/>
          <w14:ligatures w14:val="none"/>
        </w:rPr>
        <w:t>Nam</w:t>
      </w:r>
    </w:p>
    <w:p w14:paraId="2DD37039" w14:textId="47A35C7E" w:rsidR="00C315D2" w:rsidRPr="00291315" w:rsidRDefault="00C315D2" w:rsidP="00C315D2">
      <w:pPr>
        <w:spacing w:after="0" w:line="240" w:lineRule="auto"/>
        <w:rPr>
          <w:rFonts w:ascii="Arial" w:eastAsia="Calibri" w:hAnsi="Arial" w:cs="Calibri"/>
          <w:bCs/>
          <w:kern w:val="0"/>
          <w:sz w:val="20"/>
          <w:szCs w:val="20"/>
          <w14:ligatures w14:val="none"/>
        </w:rPr>
      </w:pPr>
    </w:p>
    <w:p w14:paraId="2385039D" w14:textId="3103A8D6" w:rsidR="00C315D2" w:rsidRPr="00291315" w:rsidRDefault="00B8473A" w:rsidP="004A2263">
      <w:pPr>
        <w:spacing w:after="0" w:line="240" w:lineRule="auto"/>
        <w:jc w:val="both"/>
        <w:rPr>
          <w:rFonts w:ascii="Arial" w:eastAsia="Calibri" w:hAnsi="Arial" w:cs="Calibri"/>
          <w:bCs/>
          <w:kern w:val="0"/>
          <w:sz w:val="20"/>
          <w:szCs w:val="20"/>
          <w:lang w:val="en-US"/>
          <w14:ligatures w14:val="none"/>
        </w:rPr>
      </w:pPr>
      <w:r w:rsidRPr="00291315">
        <w:rPr>
          <w:rFonts w:ascii="Arial" w:eastAsia="Calibri" w:hAnsi="Arial" w:cs="Calibri"/>
          <w:b/>
          <w:kern w:val="0"/>
          <w:sz w:val="20"/>
          <w:szCs w:val="20"/>
          <w14:ligatures w14:val="none"/>
        </w:rPr>
        <w:t>Background and aims</w:t>
      </w:r>
      <w:r w:rsidR="00C315D2" w:rsidRPr="00291315">
        <w:rPr>
          <w:rFonts w:ascii="Arial" w:eastAsia="Calibri" w:hAnsi="Arial" w:cs="Calibri"/>
          <w:b/>
          <w:kern w:val="0"/>
          <w:sz w:val="20"/>
          <w:szCs w:val="20"/>
          <w14:ligatures w14:val="none"/>
        </w:rPr>
        <w:t>.</w:t>
      </w:r>
      <w:r w:rsidR="00C315D2" w:rsidRPr="00291315">
        <w:rPr>
          <w:rFonts w:ascii="Arial" w:eastAsia="Calibri" w:hAnsi="Arial" w:cs="Calibri"/>
          <w:bCs/>
          <w:kern w:val="0"/>
          <w:sz w:val="20"/>
          <w:szCs w:val="20"/>
          <w14:ligatures w14:val="none"/>
        </w:rPr>
        <w:t xml:space="preserve"> </w:t>
      </w:r>
      <w:r w:rsidR="004A2263" w:rsidRPr="00291315">
        <w:rPr>
          <w:rFonts w:ascii="Arial" w:eastAsia="Calibri" w:hAnsi="Arial" w:cs="Calibri"/>
          <w:bCs/>
          <w:kern w:val="0"/>
          <w:sz w:val="20"/>
          <w:szCs w:val="20"/>
          <w14:ligatures w14:val="none"/>
        </w:rPr>
        <w:t xml:space="preserve">Blood glucose testing plays an important role in diagnosing and monitoring the effectiveness of diabetes treatment. Infrequent quality control of testing will affect the accuracy of test results. The purpose of this study </w:t>
      </w:r>
      <w:r w:rsidR="0048148C" w:rsidRPr="00291315">
        <w:rPr>
          <w:rFonts w:ascii="Arial" w:eastAsia="Calibri" w:hAnsi="Arial" w:cs="Calibri"/>
          <w:bCs/>
          <w:kern w:val="0"/>
          <w:sz w:val="20"/>
          <w:szCs w:val="20"/>
          <w14:ligatures w14:val="none"/>
        </w:rPr>
        <w:t>wa</w:t>
      </w:r>
      <w:r w:rsidR="004A2263" w:rsidRPr="00291315">
        <w:rPr>
          <w:rFonts w:ascii="Arial" w:eastAsia="Calibri" w:hAnsi="Arial" w:cs="Calibri"/>
          <w:bCs/>
          <w:kern w:val="0"/>
          <w:sz w:val="20"/>
          <w:szCs w:val="20"/>
          <w14:ligatures w14:val="none"/>
        </w:rPr>
        <w:t>s to establish internal quality control (IQC) samples for blood glucose testing to help laboratories proactively and regularly perform IQC of tests.</w:t>
      </w:r>
    </w:p>
    <w:p w14:paraId="15D93483" w14:textId="77777777" w:rsidR="00C315D2" w:rsidRPr="00291315" w:rsidRDefault="00C315D2" w:rsidP="00C315D2">
      <w:pPr>
        <w:spacing w:after="0" w:line="240" w:lineRule="auto"/>
        <w:jc w:val="both"/>
        <w:rPr>
          <w:rFonts w:ascii="Arial" w:eastAsia="Calibri" w:hAnsi="Arial" w:cs="Calibri"/>
          <w:b/>
          <w:kern w:val="0"/>
          <w:sz w:val="20"/>
          <w:szCs w:val="20"/>
          <w14:ligatures w14:val="none"/>
        </w:rPr>
      </w:pPr>
    </w:p>
    <w:p w14:paraId="48C0479A" w14:textId="1FE5FAEB" w:rsidR="00C315D2" w:rsidRPr="00291315" w:rsidRDefault="00C315D2" w:rsidP="00211D4E">
      <w:pPr>
        <w:spacing w:after="0" w:line="240" w:lineRule="auto"/>
        <w:jc w:val="both"/>
        <w:rPr>
          <w:rFonts w:ascii="Arial" w:eastAsia="Calibri" w:hAnsi="Arial" w:cs="Calibri"/>
          <w:bCs/>
          <w:kern w:val="0"/>
          <w:sz w:val="20"/>
          <w:szCs w:val="20"/>
          <w14:ligatures w14:val="none"/>
        </w:rPr>
      </w:pPr>
      <w:r w:rsidRPr="00291315">
        <w:rPr>
          <w:rFonts w:ascii="Arial" w:eastAsia="Calibri" w:hAnsi="Arial" w:cs="Calibri"/>
          <w:b/>
          <w:kern w:val="0"/>
          <w:sz w:val="20"/>
          <w:szCs w:val="20"/>
          <w14:ligatures w14:val="none"/>
        </w:rPr>
        <w:t>Methods.</w:t>
      </w:r>
      <w:r w:rsidRPr="00291315">
        <w:rPr>
          <w:rFonts w:ascii="Arial" w:eastAsia="Calibri" w:hAnsi="Arial" w:cs="Calibri"/>
          <w:bCs/>
          <w:kern w:val="0"/>
          <w:sz w:val="20"/>
          <w:szCs w:val="20"/>
          <w14:ligatures w14:val="none"/>
        </w:rPr>
        <w:t xml:space="preserve"> </w:t>
      </w:r>
      <w:r w:rsidR="003C5A5F" w:rsidRPr="00291315">
        <w:rPr>
          <w:rFonts w:ascii="Arial" w:eastAsia="Calibri" w:hAnsi="Arial" w:cs="Calibri"/>
          <w:bCs/>
          <w:kern w:val="0"/>
          <w:sz w:val="20"/>
          <w:szCs w:val="20"/>
          <w14:ligatures w14:val="none"/>
        </w:rPr>
        <w:t>5 ml of whole blood was collected from 10 healthy volunteers, anticoagulated with K2EDTA, then pooled and centrifuged to separate the plasma. Half of the plasma samples were spiked with 1 M glucose to produce high glucose samples</w:t>
      </w:r>
      <w:r w:rsidR="009A26FE" w:rsidRPr="00291315">
        <w:rPr>
          <w:rFonts w:ascii="Arial" w:eastAsia="Calibri" w:hAnsi="Arial" w:cs="Calibri"/>
          <w:bCs/>
          <w:kern w:val="0"/>
          <w:sz w:val="20"/>
          <w:szCs w:val="20"/>
          <w14:ligatures w14:val="none"/>
        </w:rPr>
        <w:t xml:space="preserve"> and </w:t>
      </w:r>
      <w:r w:rsidR="003C5A5F" w:rsidRPr="00291315">
        <w:rPr>
          <w:rFonts w:ascii="Arial" w:eastAsia="Calibri" w:hAnsi="Arial" w:cs="Calibri"/>
          <w:bCs/>
          <w:kern w:val="0"/>
          <w:sz w:val="20"/>
          <w:szCs w:val="20"/>
          <w14:ligatures w14:val="none"/>
        </w:rPr>
        <w:t xml:space="preserve">aliquoted into sterile tubes. Each </w:t>
      </w:r>
      <w:r w:rsidR="00211D4E" w:rsidRPr="00291315">
        <w:rPr>
          <w:rFonts w:ascii="Arial" w:eastAsia="Calibri" w:hAnsi="Arial" w:cs="Calibri"/>
          <w:bCs/>
          <w:kern w:val="0"/>
          <w:sz w:val="20"/>
          <w:szCs w:val="20"/>
          <w14:ligatures w14:val="none"/>
        </w:rPr>
        <w:t xml:space="preserve">IQC </w:t>
      </w:r>
      <w:r w:rsidR="003C5A5F" w:rsidRPr="00291315">
        <w:rPr>
          <w:rFonts w:ascii="Arial" w:eastAsia="Calibri" w:hAnsi="Arial" w:cs="Calibri"/>
          <w:bCs/>
          <w:kern w:val="0"/>
          <w:sz w:val="20"/>
          <w:szCs w:val="20"/>
          <w14:ligatures w14:val="none"/>
        </w:rPr>
        <w:t xml:space="preserve">panel contained plasma samples with normal and high glucose concentrations. The stability and homogeneity of IQC panels </w:t>
      </w:r>
      <w:r w:rsidR="002C039D" w:rsidRPr="00291315">
        <w:rPr>
          <w:rFonts w:ascii="Arial" w:eastAsia="Calibri" w:hAnsi="Arial" w:cs="Calibri"/>
          <w:bCs/>
          <w:kern w:val="0"/>
          <w:sz w:val="20"/>
          <w:szCs w:val="20"/>
          <w14:ligatures w14:val="none"/>
        </w:rPr>
        <w:t>under storage conditions at -20</w:t>
      </w:r>
      <w:r w:rsidR="002C039D" w:rsidRPr="00291315">
        <w:rPr>
          <w:rFonts w:ascii="Arial" w:eastAsia="Calibri" w:hAnsi="Arial" w:cs="Calibri"/>
          <w:bCs/>
          <w:kern w:val="0"/>
          <w:sz w:val="20"/>
          <w:szCs w:val="20"/>
          <w:vertAlign w:val="superscript"/>
          <w14:ligatures w14:val="none"/>
        </w:rPr>
        <w:t>o</w:t>
      </w:r>
      <w:r w:rsidR="002C039D" w:rsidRPr="00291315">
        <w:rPr>
          <w:rFonts w:ascii="Arial" w:eastAsia="Calibri" w:hAnsi="Arial" w:cs="Calibri"/>
          <w:bCs/>
          <w:kern w:val="0"/>
          <w:sz w:val="20"/>
          <w:szCs w:val="20"/>
          <w14:ligatures w14:val="none"/>
        </w:rPr>
        <w:t xml:space="preserve">C and transport conditions </w:t>
      </w:r>
      <w:r w:rsidR="00211D4E" w:rsidRPr="00291315">
        <w:rPr>
          <w:rFonts w:ascii="Arial" w:eastAsia="Calibri" w:hAnsi="Arial" w:cs="Calibri"/>
          <w:bCs/>
          <w:kern w:val="0"/>
          <w:sz w:val="20"/>
          <w:szCs w:val="20"/>
          <w14:ligatures w14:val="none"/>
        </w:rPr>
        <w:t xml:space="preserve">were evaluated </w:t>
      </w:r>
      <w:r w:rsidR="00F85460" w:rsidRPr="00291315">
        <w:rPr>
          <w:rFonts w:ascii="Arial" w:eastAsia="Calibri" w:hAnsi="Arial" w:cs="Calibri"/>
          <w:bCs/>
          <w:kern w:val="0"/>
          <w:sz w:val="20"/>
          <w:szCs w:val="20"/>
          <w14:ligatures w14:val="none"/>
        </w:rPr>
        <w:t xml:space="preserve">using </w:t>
      </w:r>
      <w:r w:rsidR="005674DD" w:rsidRPr="00291315">
        <w:rPr>
          <w:rFonts w:ascii="Arial" w:eastAsia="Calibri" w:hAnsi="Arial" w:cs="Calibri"/>
          <w:bCs/>
          <w:kern w:val="0"/>
          <w:sz w:val="20"/>
          <w:szCs w:val="20"/>
          <w14:ligatures w14:val="none"/>
        </w:rPr>
        <w:t>Levey</w:t>
      </w:r>
      <w:r w:rsidR="000B4583">
        <w:rPr>
          <w:rFonts w:ascii="Arial" w:eastAsia="Calibri" w:hAnsi="Arial" w:cs="Calibri"/>
          <w:bCs/>
          <w:kern w:val="0"/>
          <w:sz w:val="20"/>
          <w:szCs w:val="20"/>
          <w14:ligatures w14:val="none"/>
        </w:rPr>
        <w:t>-</w:t>
      </w:r>
      <w:r w:rsidR="005674DD" w:rsidRPr="00291315">
        <w:rPr>
          <w:rFonts w:ascii="Arial" w:eastAsia="Calibri" w:hAnsi="Arial" w:cs="Calibri"/>
          <w:bCs/>
          <w:kern w:val="0"/>
          <w:sz w:val="20"/>
          <w:szCs w:val="20"/>
          <w14:ligatures w14:val="none"/>
        </w:rPr>
        <w:t>Jenning</w:t>
      </w:r>
      <w:r w:rsidR="000B4583">
        <w:rPr>
          <w:rFonts w:ascii="Arial" w:eastAsia="Calibri" w:hAnsi="Arial" w:cs="Calibri"/>
          <w:bCs/>
          <w:kern w:val="0"/>
          <w:sz w:val="20"/>
          <w:szCs w:val="20"/>
          <w14:ligatures w14:val="none"/>
        </w:rPr>
        <w:t>s</w:t>
      </w:r>
      <w:r w:rsidR="005674DD" w:rsidRPr="00291315">
        <w:rPr>
          <w:rFonts w:ascii="Arial" w:eastAsia="Calibri" w:hAnsi="Arial" w:cs="Calibri"/>
          <w:bCs/>
          <w:kern w:val="0"/>
          <w:sz w:val="20"/>
          <w:szCs w:val="20"/>
          <w14:ligatures w14:val="none"/>
        </w:rPr>
        <w:t xml:space="preserve"> chart and Westgard rule</w:t>
      </w:r>
      <w:r w:rsidR="000B4583">
        <w:rPr>
          <w:rFonts w:ascii="Arial" w:eastAsia="Calibri" w:hAnsi="Arial" w:cs="Calibri"/>
          <w:bCs/>
          <w:kern w:val="0"/>
          <w:sz w:val="20"/>
          <w:szCs w:val="20"/>
          <w14:ligatures w14:val="none"/>
        </w:rPr>
        <w:t>s</w:t>
      </w:r>
      <w:r w:rsidR="005674DD" w:rsidRPr="00291315">
        <w:rPr>
          <w:rFonts w:ascii="Arial" w:eastAsia="Calibri" w:hAnsi="Arial" w:cs="Calibri"/>
          <w:bCs/>
          <w:kern w:val="0"/>
          <w:sz w:val="20"/>
          <w:szCs w:val="20"/>
          <w14:ligatures w14:val="none"/>
        </w:rPr>
        <w:t>,</w:t>
      </w:r>
      <w:r w:rsidR="005674DD" w:rsidRPr="00291315">
        <w:t xml:space="preserve"> </w:t>
      </w:r>
      <w:r w:rsidR="005674DD" w:rsidRPr="00291315">
        <w:rPr>
          <w:rFonts w:ascii="Arial" w:eastAsia="Calibri" w:hAnsi="Arial" w:cs="Calibri"/>
          <w:bCs/>
          <w:kern w:val="0"/>
          <w:sz w:val="20"/>
          <w:szCs w:val="20"/>
          <w14:ligatures w14:val="none"/>
        </w:rPr>
        <w:t>and compared simultaneously with a commercial IQC panel.</w:t>
      </w:r>
      <w:r w:rsidR="003C5A5F" w:rsidRPr="00291315">
        <w:rPr>
          <w:rFonts w:ascii="Arial" w:eastAsia="Calibri" w:hAnsi="Arial" w:cs="Calibri"/>
          <w:bCs/>
          <w:kern w:val="0"/>
          <w:sz w:val="20"/>
          <w:szCs w:val="20"/>
          <w14:ligatures w14:val="none"/>
        </w:rPr>
        <w:t xml:space="preserve"> Blood glucose concentrations were measured on an Erba XL640 automated biochemical analyzer.</w:t>
      </w:r>
    </w:p>
    <w:p w14:paraId="6E2D0AB2" w14:textId="77777777" w:rsidR="00211D4E" w:rsidRPr="00291315" w:rsidRDefault="00211D4E" w:rsidP="00C315D2">
      <w:pPr>
        <w:spacing w:after="0" w:line="240" w:lineRule="auto"/>
        <w:jc w:val="both"/>
        <w:rPr>
          <w:rFonts w:ascii="Arial" w:eastAsia="Calibri" w:hAnsi="Arial" w:cs="Calibri"/>
          <w:bCs/>
          <w:kern w:val="0"/>
          <w:sz w:val="20"/>
          <w:szCs w:val="20"/>
          <w14:ligatures w14:val="none"/>
        </w:rPr>
      </w:pPr>
    </w:p>
    <w:p w14:paraId="5DE93643" w14:textId="7D22C26F" w:rsidR="00F1328A" w:rsidRDefault="00795378" w:rsidP="00D75D83">
      <w:pPr>
        <w:spacing w:after="0" w:line="240" w:lineRule="auto"/>
        <w:jc w:val="both"/>
        <w:rPr>
          <w:rFonts w:ascii="Arial" w:eastAsia="Calibri" w:hAnsi="Arial" w:cs="Calibri"/>
          <w:bCs/>
          <w:kern w:val="0"/>
          <w:sz w:val="20"/>
          <w:szCs w:val="20"/>
          <w14:ligatures w14:val="none"/>
        </w:rPr>
      </w:pPr>
      <w:r w:rsidRPr="00291315">
        <w:rPr>
          <w:rFonts w:ascii="Arial" w:eastAsia="Calibri" w:hAnsi="Arial" w:cs="Arial"/>
          <w:b/>
          <w:bCs/>
          <w:kern w:val="0"/>
          <w:sz w:val="20"/>
          <w:szCs w:val="20"/>
          <w14:ligatures w14:val="none"/>
        </w:rPr>
        <w:t>Results.</w:t>
      </w:r>
      <w:r w:rsidR="005674DD" w:rsidRPr="00291315">
        <w:rPr>
          <w:rFonts w:ascii="Arial" w:eastAsia="Calibri" w:hAnsi="Arial" w:cs="Arial"/>
          <w:b/>
          <w:bCs/>
          <w:kern w:val="0"/>
          <w:sz w:val="20"/>
          <w:szCs w:val="20"/>
          <w14:ligatures w14:val="none"/>
        </w:rPr>
        <w:t xml:space="preserve"> </w:t>
      </w:r>
      <w:r w:rsidR="005674DD" w:rsidRPr="00291315">
        <w:rPr>
          <w:rFonts w:ascii="Arial" w:eastAsia="Calibri" w:hAnsi="Arial" w:cs="Arial"/>
          <w:kern w:val="0"/>
          <w:sz w:val="20"/>
          <w:szCs w:val="20"/>
          <w14:ligatures w14:val="none"/>
        </w:rPr>
        <w:t xml:space="preserve">The stability of </w:t>
      </w:r>
      <w:r w:rsidR="005674DD" w:rsidRPr="00291315">
        <w:rPr>
          <w:rFonts w:ascii="Arial" w:eastAsia="Calibri" w:hAnsi="Arial" w:cs="Calibri"/>
          <w:bCs/>
          <w:kern w:val="0"/>
          <w:sz w:val="20"/>
          <w:szCs w:val="20"/>
          <w14:ligatures w14:val="none"/>
        </w:rPr>
        <w:t>IQC panels in this study</w:t>
      </w:r>
      <w:r w:rsidR="005674DD" w:rsidRPr="00291315">
        <w:rPr>
          <w:rFonts w:ascii="Arial" w:eastAsia="Calibri" w:hAnsi="Arial" w:cs="Arial"/>
          <w:kern w:val="0"/>
          <w:sz w:val="20"/>
          <w:szCs w:val="20"/>
          <w14:ligatures w14:val="none"/>
        </w:rPr>
        <w:t xml:space="preserve"> was comparable to that of </w:t>
      </w:r>
      <w:r w:rsidR="002C039D" w:rsidRPr="00291315">
        <w:rPr>
          <w:rFonts w:ascii="Arial" w:eastAsia="Calibri" w:hAnsi="Arial" w:cs="Calibri"/>
          <w:bCs/>
          <w:kern w:val="0"/>
          <w:sz w:val="20"/>
          <w:szCs w:val="20"/>
          <w14:ligatures w14:val="none"/>
        </w:rPr>
        <w:t xml:space="preserve">commercial IQC panels. </w:t>
      </w:r>
      <w:r w:rsidR="003C5A5F" w:rsidRPr="00291315">
        <w:rPr>
          <w:rFonts w:ascii="Arial" w:eastAsia="Calibri" w:hAnsi="Arial" w:cs="Arial"/>
          <w:bCs/>
          <w:kern w:val="0"/>
          <w:sz w:val="20"/>
          <w:szCs w:val="20"/>
          <w14:ligatures w14:val="none"/>
        </w:rPr>
        <w:t>T</w:t>
      </w:r>
      <w:r w:rsidR="003C5A5F" w:rsidRPr="00291315">
        <w:rPr>
          <w:rFonts w:ascii="Arial" w:eastAsia="Calibri" w:hAnsi="Arial" w:cs="Calibri"/>
          <w:bCs/>
          <w:kern w:val="0"/>
          <w:sz w:val="20"/>
          <w:szCs w:val="20"/>
          <w14:ligatures w14:val="none"/>
        </w:rPr>
        <w:t xml:space="preserve">he samples in IQC panels were homogeneous, stable up to 3 months at </w:t>
      </w:r>
      <w:r w:rsidR="00F1328A" w:rsidRPr="00291315">
        <w:rPr>
          <w:rFonts w:ascii="Arial" w:eastAsia="Calibri" w:hAnsi="Arial" w:cs="Calibri"/>
          <w:bCs/>
          <w:kern w:val="0"/>
          <w:sz w:val="20"/>
          <w:szCs w:val="20"/>
          <w14:ligatures w14:val="none"/>
        </w:rPr>
        <w:t>-20</w:t>
      </w:r>
      <w:r w:rsidR="00F1328A" w:rsidRPr="00291315">
        <w:rPr>
          <w:rFonts w:ascii="Arial" w:eastAsia="Calibri" w:hAnsi="Arial" w:cs="Calibri"/>
          <w:bCs/>
          <w:kern w:val="0"/>
          <w:sz w:val="20"/>
          <w:szCs w:val="20"/>
          <w:vertAlign w:val="superscript"/>
          <w14:ligatures w14:val="none"/>
        </w:rPr>
        <w:t>o</w:t>
      </w:r>
      <w:r w:rsidR="00F1328A" w:rsidRPr="00291315">
        <w:rPr>
          <w:rFonts w:ascii="Arial" w:eastAsia="Calibri" w:hAnsi="Arial" w:cs="Calibri"/>
          <w:bCs/>
          <w:kern w:val="0"/>
          <w:sz w:val="20"/>
          <w:szCs w:val="20"/>
          <w14:ligatures w14:val="none"/>
        </w:rPr>
        <w:t xml:space="preserve">C </w:t>
      </w:r>
      <w:r w:rsidR="00F85460" w:rsidRPr="00291315">
        <w:rPr>
          <w:rFonts w:ascii="Arial" w:eastAsia="Calibri" w:hAnsi="Arial" w:cs="Calibri"/>
          <w:bCs/>
          <w:kern w:val="0"/>
          <w:sz w:val="20"/>
          <w:szCs w:val="20"/>
          <w14:ligatures w14:val="none"/>
        </w:rPr>
        <w:t xml:space="preserve">(see Figure 1) </w:t>
      </w:r>
      <w:r w:rsidR="00F1328A" w:rsidRPr="00291315">
        <w:rPr>
          <w:rFonts w:ascii="Arial" w:eastAsia="Calibri" w:hAnsi="Arial" w:cs="Calibri"/>
          <w:bCs/>
          <w:kern w:val="0"/>
          <w:sz w:val="20"/>
          <w:szCs w:val="20"/>
          <w14:ligatures w14:val="none"/>
        </w:rPr>
        <w:t xml:space="preserve">and </w:t>
      </w:r>
      <w:r w:rsidR="00D75D83" w:rsidRPr="00291315">
        <w:rPr>
          <w:rFonts w:ascii="Arial" w:eastAsia="Calibri" w:hAnsi="Arial" w:cs="Calibri"/>
          <w:bCs/>
          <w:kern w:val="0"/>
          <w:sz w:val="20"/>
          <w:szCs w:val="20"/>
          <w14:ligatures w14:val="none"/>
        </w:rPr>
        <w:t>up to 24 hours under transport conditions</w:t>
      </w:r>
      <w:r w:rsidR="00211D4E" w:rsidRPr="00291315">
        <w:rPr>
          <w:rFonts w:ascii="Arial" w:eastAsia="Calibri" w:hAnsi="Arial" w:cs="Calibri"/>
          <w:bCs/>
          <w:kern w:val="0"/>
          <w:sz w:val="20"/>
          <w:szCs w:val="20"/>
          <w14:ligatures w14:val="none"/>
        </w:rPr>
        <w:t>.</w:t>
      </w:r>
    </w:p>
    <w:p w14:paraId="398A1A5B" w14:textId="77777777" w:rsidR="00356061" w:rsidRPr="00291315" w:rsidRDefault="00356061" w:rsidP="00D75D83">
      <w:pPr>
        <w:spacing w:after="0" w:line="240" w:lineRule="auto"/>
        <w:jc w:val="both"/>
        <w:rPr>
          <w:rFonts w:ascii="Arial" w:eastAsia="Calibri" w:hAnsi="Arial" w:cs="Calibri"/>
          <w:bCs/>
          <w:kern w:val="0"/>
          <w:sz w:val="20"/>
          <w:szCs w:val="20"/>
          <w14:ligatures w14:val="none"/>
        </w:rPr>
      </w:pPr>
    </w:p>
    <w:p w14:paraId="522E451C" w14:textId="5EDE4F2E" w:rsidR="0014333A" w:rsidRPr="00291315" w:rsidRDefault="00356061" w:rsidP="006214F2">
      <w:pPr>
        <w:spacing w:after="0" w:line="240" w:lineRule="auto"/>
        <w:jc w:val="center"/>
        <w:rPr>
          <w:rFonts w:ascii="Arial" w:eastAsia="Calibri" w:hAnsi="Arial" w:cs="Calibri"/>
          <w:bCs/>
          <w:kern w:val="0"/>
          <w:sz w:val="20"/>
          <w:szCs w:val="20"/>
          <w14:ligatures w14:val="none"/>
        </w:rPr>
      </w:pPr>
      <w:r>
        <w:rPr>
          <w:rFonts w:ascii="Arial" w:eastAsia="Calibri" w:hAnsi="Arial" w:cs="Calibri"/>
          <w:bCs/>
          <w:noProof/>
          <w:kern w:val="0"/>
          <w:sz w:val="20"/>
          <w:szCs w:val="20"/>
          <w14:ligatures w14:val="none"/>
        </w:rPr>
        <w:drawing>
          <wp:inline distT="0" distB="0" distL="0" distR="0" wp14:anchorId="3986E20E" wp14:editId="04392218">
            <wp:extent cx="3285435" cy="1978000"/>
            <wp:effectExtent l="19050" t="19050" r="10795" b="22860"/>
            <wp:docPr id="1268945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307277" cy="1991150"/>
                    </a:xfrm>
                    <a:prstGeom prst="rect">
                      <a:avLst/>
                    </a:prstGeom>
                    <a:noFill/>
                    <a:ln>
                      <a:solidFill>
                        <a:schemeClr val="bg1">
                          <a:lumMod val="65000"/>
                        </a:schemeClr>
                      </a:solidFill>
                    </a:ln>
                  </pic:spPr>
                </pic:pic>
              </a:graphicData>
            </a:graphic>
          </wp:inline>
        </w:drawing>
      </w:r>
    </w:p>
    <w:p w14:paraId="19DCD773" w14:textId="43CCD872" w:rsidR="00881614" w:rsidRPr="00291315" w:rsidRDefault="009A26FE" w:rsidP="00D75D83">
      <w:pPr>
        <w:spacing w:after="0" w:line="240" w:lineRule="auto"/>
        <w:jc w:val="both"/>
        <w:rPr>
          <w:rFonts w:ascii="Arial" w:eastAsia="Calibri" w:hAnsi="Arial" w:cs="Calibri"/>
          <w:bCs/>
          <w:kern w:val="0"/>
          <w:sz w:val="20"/>
          <w:szCs w:val="20"/>
          <w14:ligatures w14:val="none"/>
        </w:rPr>
      </w:pPr>
      <w:r w:rsidRPr="00291315">
        <w:rPr>
          <w:rFonts w:ascii="Arial" w:eastAsia="Calibri" w:hAnsi="Arial" w:cs="Calibri"/>
          <w:b/>
          <w:kern w:val="0"/>
          <w:sz w:val="20"/>
          <w:szCs w:val="20"/>
          <w14:ligatures w14:val="none"/>
        </w:rPr>
        <w:t>Figure 1.</w:t>
      </w:r>
      <w:r w:rsidRPr="00291315">
        <w:rPr>
          <w:rFonts w:ascii="Arial" w:eastAsia="Calibri" w:hAnsi="Arial" w:cs="Calibri"/>
          <w:bCs/>
          <w:kern w:val="0"/>
          <w:sz w:val="20"/>
          <w:szCs w:val="20"/>
          <w14:ligatures w14:val="none"/>
        </w:rPr>
        <w:t xml:space="preserve"> </w:t>
      </w:r>
      <w:r w:rsidR="003065A1" w:rsidRPr="003065A1">
        <w:rPr>
          <w:rFonts w:ascii="Arial" w:eastAsia="Calibri" w:hAnsi="Arial" w:cs="Calibri"/>
          <w:bCs/>
          <w:kern w:val="0"/>
          <w:sz w:val="20"/>
          <w:szCs w:val="20"/>
          <w14:ligatures w14:val="none"/>
        </w:rPr>
        <w:t>Levey-Jennings chart</w:t>
      </w:r>
      <w:r w:rsidR="003065A1">
        <w:rPr>
          <w:rFonts w:ascii="Arial" w:eastAsia="Calibri" w:hAnsi="Arial" w:cs="Calibri"/>
          <w:bCs/>
          <w:kern w:val="0"/>
          <w:sz w:val="20"/>
          <w:szCs w:val="20"/>
          <w14:ligatures w14:val="none"/>
        </w:rPr>
        <w:t xml:space="preserve"> for</w:t>
      </w:r>
      <w:r w:rsidRPr="00291315">
        <w:rPr>
          <w:rFonts w:ascii="Arial" w:eastAsia="Calibri" w:hAnsi="Arial" w:cs="Calibri"/>
          <w:bCs/>
          <w:kern w:val="0"/>
          <w:sz w:val="20"/>
          <w:szCs w:val="20"/>
          <w14:ligatures w14:val="none"/>
        </w:rPr>
        <w:t xml:space="preserve"> glucose</w:t>
      </w:r>
      <w:r w:rsidR="003065A1">
        <w:rPr>
          <w:rFonts w:ascii="Arial" w:eastAsia="Calibri" w:hAnsi="Arial" w:cs="Calibri"/>
          <w:bCs/>
          <w:kern w:val="0"/>
          <w:sz w:val="20"/>
          <w:szCs w:val="20"/>
          <w14:ligatures w14:val="none"/>
        </w:rPr>
        <w:t xml:space="preserve"> level</w:t>
      </w:r>
      <w:r w:rsidRPr="00291315">
        <w:rPr>
          <w:rFonts w:ascii="Arial" w:eastAsia="Calibri" w:hAnsi="Arial" w:cs="Calibri"/>
          <w:bCs/>
          <w:kern w:val="0"/>
          <w:sz w:val="20"/>
          <w:szCs w:val="20"/>
          <w14:ligatures w14:val="none"/>
        </w:rPr>
        <w:t xml:space="preserve">s of IQC </w:t>
      </w:r>
      <w:r w:rsidR="00356061">
        <w:rPr>
          <w:rFonts w:ascii="Arial" w:eastAsia="Calibri" w:hAnsi="Arial" w:cs="Calibri"/>
          <w:bCs/>
          <w:kern w:val="0"/>
          <w:sz w:val="20"/>
          <w:szCs w:val="20"/>
          <w14:ligatures w14:val="none"/>
        </w:rPr>
        <w:t xml:space="preserve">sample </w:t>
      </w:r>
      <w:r w:rsidRPr="00291315">
        <w:rPr>
          <w:rFonts w:ascii="Arial" w:eastAsia="Calibri" w:hAnsi="Arial" w:cs="Calibri"/>
          <w:bCs/>
          <w:kern w:val="0"/>
          <w:sz w:val="20"/>
          <w:szCs w:val="20"/>
          <w14:ligatures w14:val="none"/>
        </w:rPr>
        <w:t>panels over 30 days (normal concentration-Level 1, high concentration-Level 2)</w:t>
      </w:r>
    </w:p>
    <w:p w14:paraId="62463D01" w14:textId="77777777" w:rsidR="009A26FE" w:rsidRPr="00291315" w:rsidRDefault="009A26FE" w:rsidP="00D75D83">
      <w:pPr>
        <w:spacing w:after="0" w:line="240" w:lineRule="auto"/>
        <w:jc w:val="both"/>
        <w:rPr>
          <w:rFonts w:ascii="Arial" w:eastAsia="Calibri" w:hAnsi="Arial" w:cs="Calibri"/>
          <w:bCs/>
          <w:kern w:val="0"/>
          <w:sz w:val="20"/>
          <w:szCs w:val="20"/>
          <w14:ligatures w14:val="none"/>
        </w:rPr>
      </w:pPr>
    </w:p>
    <w:p w14:paraId="021030A1" w14:textId="098228BB" w:rsidR="00D75D83" w:rsidRPr="00291315" w:rsidRDefault="00B8473A" w:rsidP="00D75D83">
      <w:pPr>
        <w:spacing w:after="0" w:line="240" w:lineRule="auto"/>
        <w:jc w:val="both"/>
        <w:rPr>
          <w:rFonts w:ascii="Arial" w:eastAsia="Calibri" w:hAnsi="Arial" w:cs="Calibri"/>
          <w:bCs/>
          <w:kern w:val="0"/>
          <w:sz w:val="20"/>
          <w:szCs w:val="20"/>
          <w14:ligatures w14:val="none"/>
        </w:rPr>
      </w:pPr>
      <w:r w:rsidRPr="00291315">
        <w:rPr>
          <w:rFonts w:ascii="Arial" w:eastAsia="Calibri" w:hAnsi="Arial" w:cs="Calibri"/>
          <w:b/>
          <w:kern w:val="0"/>
          <w:sz w:val="20"/>
          <w:szCs w:val="20"/>
          <w14:ligatures w14:val="none"/>
        </w:rPr>
        <w:t>Conclusion/</w:t>
      </w:r>
      <w:r w:rsidR="00C315D2" w:rsidRPr="00291315">
        <w:rPr>
          <w:rFonts w:ascii="Arial" w:eastAsia="Calibri" w:hAnsi="Arial" w:cs="Calibri"/>
          <w:b/>
          <w:kern w:val="0"/>
          <w:sz w:val="20"/>
          <w:szCs w:val="20"/>
          <w14:ligatures w14:val="none"/>
        </w:rPr>
        <w:t>Discussion.</w:t>
      </w:r>
      <w:r w:rsidR="00C315D2" w:rsidRPr="00291315">
        <w:rPr>
          <w:rFonts w:ascii="Arial" w:eastAsia="Calibri" w:hAnsi="Arial" w:cs="Calibri"/>
          <w:bCs/>
          <w:kern w:val="0"/>
          <w:sz w:val="20"/>
          <w:szCs w:val="20"/>
          <w14:ligatures w14:val="none"/>
        </w:rPr>
        <w:t xml:space="preserve"> </w:t>
      </w:r>
      <w:r w:rsidR="008D05FA" w:rsidRPr="00291315">
        <w:rPr>
          <w:rFonts w:ascii="Arial" w:eastAsia="Calibri" w:hAnsi="Arial" w:cs="Calibri"/>
          <w:bCs/>
          <w:kern w:val="0"/>
          <w:sz w:val="20"/>
          <w:szCs w:val="20"/>
          <w14:ligatures w14:val="none"/>
        </w:rPr>
        <w:t xml:space="preserve">The IQC panels in this study were in liquid form </w:t>
      </w:r>
      <w:r w:rsidR="009A26FE" w:rsidRPr="00291315">
        <w:rPr>
          <w:rFonts w:ascii="Arial" w:eastAsia="Calibri" w:hAnsi="Arial" w:cs="Calibri"/>
          <w:bCs/>
          <w:kern w:val="0"/>
          <w:sz w:val="20"/>
          <w:szCs w:val="20"/>
          <w14:ligatures w14:val="none"/>
        </w:rPr>
        <w:t xml:space="preserve">and </w:t>
      </w:r>
      <w:r w:rsidR="008D05FA" w:rsidRPr="00291315">
        <w:rPr>
          <w:rFonts w:ascii="Arial" w:eastAsia="Calibri" w:hAnsi="Arial" w:cs="Calibri"/>
          <w:bCs/>
          <w:kern w:val="0"/>
          <w:sz w:val="20"/>
          <w:szCs w:val="20"/>
          <w14:ligatures w14:val="none"/>
        </w:rPr>
        <w:t>c</w:t>
      </w:r>
      <w:r w:rsidR="009A26FE" w:rsidRPr="00291315">
        <w:rPr>
          <w:rFonts w:ascii="Arial" w:eastAsia="Calibri" w:hAnsi="Arial" w:cs="Calibri"/>
          <w:bCs/>
          <w:kern w:val="0"/>
          <w:sz w:val="20"/>
          <w:szCs w:val="20"/>
          <w14:ligatures w14:val="none"/>
        </w:rPr>
        <w:t>ould</w:t>
      </w:r>
      <w:r w:rsidR="008D05FA" w:rsidRPr="00291315">
        <w:rPr>
          <w:rFonts w:ascii="Arial" w:eastAsia="Calibri" w:hAnsi="Arial" w:cs="Calibri"/>
          <w:bCs/>
          <w:kern w:val="0"/>
          <w:sz w:val="20"/>
          <w:szCs w:val="20"/>
          <w14:ligatures w14:val="none"/>
        </w:rPr>
        <w:t xml:space="preserve"> be used immediately without </w:t>
      </w:r>
      <w:r w:rsidR="009A26FE" w:rsidRPr="00291315">
        <w:rPr>
          <w:rFonts w:ascii="Arial" w:eastAsia="Calibri" w:hAnsi="Arial" w:cs="Calibri"/>
          <w:bCs/>
          <w:kern w:val="0"/>
          <w:sz w:val="20"/>
          <w:szCs w:val="20"/>
          <w14:ligatures w14:val="none"/>
        </w:rPr>
        <w:t>the need</w:t>
      </w:r>
      <w:r w:rsidR="008D05FA" w:rsidRPr="00291315">
        <w:rPr>
          <w:rFonts w:ascii="Arial" w:eastAsia="Calibri" w:hAnsi="Arial" w:cs="Calibri"/>
          <w:bCs/>
          <w:kern w:val="0"/>
          <w:sz w:val="20"/>
          <w:szCs w:val="20"/>
          <w14:ligatures w14:val="none"/>
        </w:rPr>
        <w:t xml:space="preserve"> to reconstitute the sample into solution before use.</w:t>
      </w:r>
      <w:r w:rsidR="00881614" w:rsidRPr="00291315">
        <w:rPr>
          <w:rFonts w:ascii="Arial" w:eastAsia="Calibri" w:hAnsi="Arial" w:cs="Calibri"/>
          <w:bCs/>
          <w:kern w:val="0"/>
          <w:sz w:val="20"/>
          <w:szCs w:val="20"/>
          <w14:ligatures w14:val="none"/>
        </w:rPr>
        <w:t xml:space="preserve"> </w:t>
      </w:r>
      <w:r w:rsidR="00D75D83" w:rsidRPr="00291315">
        <w:rPr>
          <w:rFonts w:ascii="Arial" w:eastAsia="Calibri" w:hAnsi="Arial" w:cs="Calibri"/>
          <w:bCs/>
          <w:kern w:val="0"/>
          <w:sz w:val="20"/>
          <w:szCs w:val="20"/>
          <w14:ligatures w14:val="none"/>
        </w:rPr>
        <w:t xml:space="preserve">The IQC sample for </w:t>
      </w:r>
      <w:r w:rsidR="008D05FA" w:rsidRPr="00291315">
        <w:rPr>
          <w:rFonts w:ascii="Arial" w:eastAsia="Calibri" w:hAnsi="Arial" w:cs="Calibri"/>
          <w:bCs/>
          <w:kern w:val="0"/>
          <w:sz w:val="20"/>
          <w:szCs w:val="20"/>
          <w14:ligatures w14:val="none"/>
        </w:rPr>
        <w:t xml:space="preserve">blood glucose testing </w:t>
      </w:r>
      <w:r w:rsidR="00D75D83" w:rsidRPr="00291315">
        <w:rPr>
          <w:rFonts w:ascii="Arial" w:eastAsia="Calibri" w:hAnsi="Arial" w:cs="Calibri"/>
          <w:bCs/>
          <w:kern w:val="0"/>
          <w:sz w:val="20"/>
          <w:szCs w:val="20"/>
          <w14:ligatures w14:val="none"/>
        </w:rPr>
        <w:t xml:space="preserve">was developed to be widely used to ensure the quality of </w:t>
      </w:r>
      <w:r w:rsidR="008D05FA" w:rsidRPr="00291315">
        <w:rPr>
          <w:rFonts w:ascii="Arial" w:eastAsia="Calibri" w:hAnsi="Arial" w:cs="Calibri"/>
          <w:bCs/>
          <w:kern w:val="0"/>
          <w:sz w:val="20"/>
          <w:szCs w:val="20"/>
          <w14:ligatures w14:val="none"/>
        </w:rPr>
        <w:t xml:space="preserve">blood glucose </w:t>
      </w:r>
      <w:r w:rsidR="00D75D83" w:rsidRPr="00291315">
        <w:rPr>
          <w:rFonts w:ascii="Arial" w:eastAsia="Calibri" w:hAnsi="Arial" w:cs="Calibri"/>
          <w:bCs/>
          <w:kern w:val="0"/>
          <w:sz w:val="20"/>
          <w:szCs w:val="20"/>
          <w14:ligatures w14:val="none"/>
        </w:rPr>
        <w:t>test results at laboratories in Vietnam.</w:t>
      </w:r>
      <w:r w:rsidR="00881614" w:rsidRPr="00291315">
        <w:rPr>
          <w:rFonts w:ascii="Arial" w:eastAsia="Calibri" w:hAnsi="Arial" w:cs="Calibri"/>
          <w:bCs/>
          <w:kern w:val="0"/>
          <w:sz w:val="20"/>
          <w:szCs w:val="20"/>
          <w14:ligatures w14:val="none"/>
        </w:rPr>
        <w:t xml:space="preserve"> </w:t>
      </w:r>
      <w:r w:rsidR="00590216" w:rsidRPr="00291315">
        <w:rPr>
          <w:rFonts w:ascii="Arial" w:eastAsia="Calibri" w:hAnsi="Arial" w:cs="Calibri"/>
          <w:bCs/>
          <w:kern w:val="0"/>
          <w:sz w:val="20"/>
          <w:szCs w:val="20"/>
          <w14:ligatures w14:val="none"/>
        </w:rPr>
        <w:t>We greatly thank the University of Medicine and Pharmacy at Ho Chi Minh City and Buon Ma Thuot Medical Testing Center for their support in completing this study.</w:t>
      </w:r>
    </w:p>
    <w:p w14:paraId="1AF10CAD" w14:textId="4854B82A" w:rsidR="00C315D2" w:rsidRPr="00291315" w:rsidRDefault="00C315D2" w:rsidP="00C315D2">
      <w:pPr>
        <w:spacing w:after="0" w:line="240" w:lineRule="auto"/>
        <w:jc w:val="both"/>
        <w:rPr>
          <w:rFonts w:ascii="Arial" w:eastAsia="Calibri" w:hAnsi="Arial" w:cs="Calibri"/>
          <w:b/>
          <w:kern w:val="0"/>
          <w:sz w:val="20"/>
          <w:szCs w:val="20"/>
          <w14:ligatures w14:val="none"/>
        </w:rPr>
      </w:pPr>
    </w:p>
    <w:p w14:paraId="2C801966" w14:textId="00369CE7" w:rsidR="00C315D2" w:rsidRPr="00291315" w:rsidRDefault="00C315D2" w:rsidP="00C315D2">
      <w:pPr>
        <w:spacing w:after="0" w:line="240" w:lineRule="auto"/>
        <w:jc w:val="both"/>
        <w:rPr>
          <w:rFonts w:ascii="Arial" w:eastAsia="Calibri" w:hAnsi="Arial" w:cs="Calibri"/>
          <w:bCs/>
          <w:kern w:val="0"/>
          <w:sz w:val="20"/>
          <w:szCs w:val="20"/>
          <w:lang w:val="en-US"/>
          <w14:ligatures w14:val="none"/>
        </w:rPr>
      </w:pPr>
      <w:r w:rsidRPr="00291315">
        <w:rPr>
          <w:rFonts w:ascii="Arial" w:eastAsia="Calibri" w:hAnsi="Arial" w:cs="Calibri"/>
          <w:b/>
          <w:kern w:val="0"/>
          <w:sz w:val="20"/>
          <w:szCs w:val="20"/>
          <w14:ligatures w14:val="none"/>
        </w:rPr>
        <w:t>References:</w:t>
      </w:r>
      <w:r w:rsidR="006214F2" w:rsidRPr="00291315">
        <w:rPr>
          <w:rFonts w:ascii="Arial" w:eastAsia="Calibri" w:hAnsi="Arial" w:cs="Calibri"/>
          <w:b/>
          <w:kern w:val="0"/>
          <w:sz w:val="20"/>
          <w:szCs w:val="20"/>
          <w14:ligatures w14:val="none"/>
        </w:rPr>
        <w:t xml:space="preserve"> </w:t>
      </w:r>
      <w:r w:rsidRPr="00291315">
        <w:rPr>
          <w:rFonts w:ascii="Arial" w:eastAsia="Calibri" w:hAnsi="Arial" w:cs="Calibri"/>
          <w:bCs/>
          <w:kern w:val="0"/>
          <w:sz w:val="20"/>
          <w:szCs w:val="20"/>
          <w:lang w:val="en-US"/>
          <w14:ligatures w14:val="none"/>
        </w:rPr>
        <w:t xml:space="preserve"> </w:t>
      </w:r>
    </w:p>
    <w:p w14:paraId="1C74F236" w14:textId="1603C1C0" w:rsidR="006214F2" w:rsidRPr="00291315" w:rsidRDefault="00C315D2" w:rsidP="00C315D2">
      <w:pPr>
        <w:spacing w:after="0" w:line="240" w:lineRule="auto"/>
        <w:jc w:val="both"/>
        <w:rPr>
          <w:rFonts w:ascii="Arial" w:eastAsia="Calibri" w:hAnsi="Arial" w:cs="Calibri"/>
          <w:bCs/>
          <w:kern w:val="0"/>
          <w:sz w:val="20"/>
          <w:szCs w:val="20"/>
          <w:lang w:val="en-US"/>
          <w14:ligatures w14:val="none"/>
        </w:rPr>
      </w:pPr>
      <w:r w:rsidRPr="00291315">
        <w:rPr>
          <w:rFonts w:ascii="Arial" w:eastAsia="Calibri" w:hAnsi="Arial" w:cs="Calibri"/>
          <w:bCs/>
          <w:kern w:val="0"/>
          <w:sz w:val="20"/>
          <w:szCs w:val="20"/>
          <w:lang w:val="en-US"/>
          <w14:ligatures w14:val="none"/>
        </w:rPr>
        <w:t xml:space="preserve">(1) </w:t>
      </w:r>
      <w:r w:rsidR="00291315" w:rsidRPr="00291315">
        <w:rPr>
          <w:rFonts w:ascii="Arial" w:eastAsia="Calibri" w:hAnsi="Arial" w:cs="Calibri"/>
          <w:bCs/>
          <w:kern w:val="0"/>
          <w:sz w:val="20"/>
          <w:szCs w:val="20"/>
          <w:lang w:val="en-US"/>
          <w14:ligatures w14:val="none"/>
        </w:rPr>
        <w:t>CLSI (2010). Procedures for the Handling and Processing of Blood specimens for Common Laboratory Tests; approved Guideline – 4th ed. CLsi document H18-a4. Wayne, Pa: Clinical and Laboratory standards institute.</w:t>
      </w:r>
    </w:p>
    <w:p w14:paraId="0CD82FC5" w14:textId="292CA836" w:rsidR="006214F2" w:rsidRDefault="00C315D2" w:rsidP="00291315">
      <w:pPr>
        <w:spacing w:after="0"/>
        <w:jc w:val="both"/>
        <w:rPr>
          <w:rFonts w:ascii="Arial" w:eastAsia="Calibri" w:hAnsi="Arial" w:cs="Calibri"/>
          <w:bCs/>
          <w:kern w:val="0"/>
          <w:sz w:val="20"/>
          <w:szCs w:val="20"/>
          <w:lang w:val="en-US"/>
          <w14:ligatures w14:val="none"/>
        </w:rPr>
      </w:pPr>
      <w:r w:rsidRPr="00291315">
        <w:rPr>
          <w:rFonts w:ascii="Arial" w:eastAsia="Calibri" w:hAnsi="Arial" w:cs="Calibri"/>
          <w:bCs/>
          <w:kern w:val="0"/>
          <w:sz w:val="20"/>
          <w:szCs w:val="20"/>
          <w:lang w:val="en-US"/>
          <w14:ligatures w14:val="none"/>
        </w:rPr>
        <w:t xml:space="preserve">(2) </w:t>
      </w:r>
      <w:r w:rsidR="00291315" w:rsidRPr="00291315">
        <w:rPr>
          <w:rFonts w:ascii="Arial" w:eastAsia="Calibri" w:hAnsi="Arial" w:cs="Calibri"/>
          <w:bCs/>
          <w:kern w:val="0"/>
          <w:sz w:val="20"/>
          <w:szCs w:val="20"/>
          <w:lang w:val="en-US"/>
          <w14:ligatures w14:val="none"/>
        </w:rPr>
        <w:t xml:space="preserve">Gruber, L. et al </w:t>
      </w:r>
      <w:r w:rsidR="006214F2" w:rsidRPr="00291315">
        <w:rPr>
          <w:rFonts w:ascii="Arial" w:eastAsia="Calibri" w:hAnsi="Arial" w:cs="Calibri"/>
          <w:bCs/>
          <w:kern w:val="0"/>
          <w:sz w:val="20"/>
          <w:szCs w:val="20"/>
          <w:lang w:val="en-US"/>
          <w14:ligatures w14:val="none"/>
        </w:rPr>
        <w:t>(20</w:t>
      </w:r>
      <w:r w:rsidR="00291315" w:rsidRPr="00291315">
        <w:rPr>
          <w:rFonts w:ascii="Arial" w:eastAsia="Calibri" w:hAnsi="Arial" w:cs="Calibri"/>
          <w:bCs/>
          <w:kern w:val="0"/>
          <w:sz w:val="20"/>
          <w:szCs w:val="20"/>
          <w:lang w:val="en-US"/>
          <w14:ligatures w14:val="none"/>
        </w:rPr>
        <w:t>24</w:t>
      </w:r>
      <w:r w:rsidR="006214F2" w:rsidRPr="00291315">
        <w:rPr>
          <w:rFonts w:ascii="Arial" w:eastAsia="Calibri" w:hAnsi="Arial" w:cs="Calibri"/>
          <w:bCs/>
          <w:kern w:val="0"/>
          <w:sz w:val="20"/>
          <w:szCs w:val="20"/>
          <w:lang w:val="en-US"/>
          <w14:ligatures w14:val="none"/>
        </w:rPr>
        <w:t xml:space="preserve">). </w:t>
      </w:r>
      <w:r w:rsidR="00291315" w:rsidRPr="00291315">
        <w:rPr>
          <w:rFonts w:ascii="Arial" w:eastAsia="Calibri" w:hAnsi="Arial" w:cs="Calibri"/>
          <w:bCs/>
          <w:kern w:val="0"/>
          <w:sz w:val="20"/>
          <w:szCs w:val="20"/>
          <w:lang w:val="en-US"/>
          <w14:ligatures w14:val="none"/>
        </w:rPr>
        <w:t>Internal Quality Controls in the Medical Laboratory: A Narrative Review of the Basic Principles of an Appropriate Quality Control Plan</w:t>
      </w:r>
      <w:r w:rsidR="006214F2" w:rsidRPr="00291315">
        <w:rPr>
          <w:rFonts w:ascii="Arial" w:eastAsia="Calibri" w:hAnsi="Arial" w:cs="Calibri"/>
          <w:bCs/>
          <w:kern w:val="0"/>
          <w:sz w:val="20"/>
          <w:szCs w:val="20"/>
          <w:lang w:val="en-US"/>
          <w14:ligatures w14:val="none"/>
        </w:rPr>
        <w:t xml:space="preserve">. </w:t>
      </w:r>
      <w:r w:rsidR="00291315" w:rsidRPr="00291315">
        <w:rPr>
          <w:rFonts w:ascii="Arial" w:eastAsia="Calibri" w:hAnsi="Arial" w:cs="Calibri"/>
          <w:bCs/>
          <w:kern w:val="0"/>
          <w:sz w:val="20"/>
          <w:szCs w:val="20"/>
          <w:lang w:val="en-US"/>
          <w14:ligatures w14:val="none"/>
        </w:rPr>
        <w:t>Diagnostics (Basel). 5;14(19):2223.</w:t>
      </w:r>
    </w:p>
    <w:p w14:paraId="313DE1B5" w14:textId="59571FAA" w:rsidR="00291315" w:rsidRDefault="00291315" w:rsidP="005E11F9">
      <w:pPr>
        <w:spacing w:after="0"/>
        <w:jc w:val="both"/>
        <w:rPr>
          <w:rFonts w:ascii="Arial" w:eastAsia="Calibri" w:hAnsi="Arial" w:cs="Calibri"/>
          <w:bCs/>
          <w:kern w:val="0"/>
          <w:sz w:val="20"/>
          <w:szCs w:val="20"/>
          <w:lang w:val="en-US"/>
          <w14:ligatures w14:val="none"/>
        </w:rPr>
      </w:pPr>
      <w:r w:rsidRPr="00386D01">
        <w:rPr>
          <w:rFonts w:ascii="Arial" w:eastAsia="Calibri" w:hAnsi="Arial" w:cs="Calibri"/>
          <w:bCs/>
          <w:kern w:val="0"/>
          <w:sz w:val="20"/>
          <w:szCs w:val="20"/>
          <w:lang w:val="en-US"/>
          <w14:ligatures w14:val="none"/>
        </w:rPr>
        <w:t xml:space="preserve">(3) </w:t>
      </w:r>
      <w:r w:rsidR="005E11F9" w:rsidRPr="00386D01">
        <w:rPr>
          <w:rFonts w:ascii="Arial" w:eastAsia="Calibri" w:hAnsi="Arial" w:cs="Calibri"/>
          <w:bCs/>
          <w:kern w:val="0"/>
          <w:sz w:val="20"/>
          <w:szCs w:val="20"/>
          <w:lang w:val="en-US"/>
          <w14:ligatures w14:val="none"/>
        </w:rPr>
        <w:t xml:space="preserve">Giannoli, J-M. et al (2025). </w:t>
      </w:r>
      <w:r w:rsidRPr="00291315">
        <w:rPr>
          <w:rFonts w:ascii="Arial" w:eastAsia="Calibri" w:hAnsi="Arial" w:cs="Calibri"/>
          <w:bCs/>
          <w:kern w:val="0"/>
          <w:sz w:val="20"/>
          <w:szCs w:val="20"/>
          <w:lang w:val="en-US"/>
          <w14:ligatures w14:val="none"/>
        </w:rPr>
        <w:t>Ensuring internal quality control practices in medical Laboratories: IFCC recommendations for practical applications based on ISO 15189:2022</w:t>
      </w:r>
      <w:r w:rsidR="005E11F9">
        <w:rPr>
          <w:rFonts w:ascii="Arial" w:eastAsia="Calibri" w:hAnsi="Arial" w:cs="Calibri"/>
          <w:bCs/>
          <w:kern w:val="0"/>
          <w:sz w:val="20"/>
          <w:szCs w:val="20"/>
          <w:lang w:val="en-US"/>
          <w14:ligatures w14:val="none"/>
        </w:rPr>
        <w:t xml:space="preserve">. </w:t>
      </w:r>
      <w:r w:rsidR="005E11F9" w:rsidRPr="005E11F9">
        <w:rPr>
          <w:rFonts w:ascii="Arial" w:eastAsia="Calibri" w:hAnsi="Arial" w:cs="Calibri"/>
          <w:bCs/>
          <w:kern w:val="0"/>
          <w:sz w:val="20"/>
          <w:szCs w:val="20"/>
          <w:lang w:val="en-US"/>
          <w14:ligatures w14:val="none"/>
        </w:rPr>
        <w:t>Clinica Chimica Acta</w:t>
      </w:r>
      <w:r w:rsidR="005E11F9">
        <w:rPr>
          <w:rFonts w:ascii="Arial" w:eastAsia="Calibri" w:hAnsi="Arial" w:cs="Calibri"/>
          <w:bCs/>
          <w:kern w:val="0"/>
          <w:sz w:val="20"/>
          <w:szCs w:val="20"/>
          <w:lang w:val="en-US"/>
          <w14:ligatures w14:val="none"/>
        </w:rPr>
        <w:t xml:space="preserve">. </w:t>
      </w:r>
      <w:r w:rsidR="005E11F9" w:rsidRPr="005E11F9">
        <w:rPr>
          <w:rFonts w:ascii="Arial" w:eastAsia="Calibri" w:hAnsi="Arial" w:cs="Calibri"/>
          <w:bCs/>
          <w:kern w:val="0"/>
          <w:sz w:val="20"/>
          <w:szCs w:val="20"/>
          <w:lang w:val="en-US"/>
          <w14:ligatures w14:val="none"/>
        </w:rPr>
        <w:t>571</w:t>
      </w:r>
      <w:r w:rsidR="005E11F9">
        <w:rPr>
          <w:rFonts w:ascii="Arial" w:eastAsia="Calibri" w:hAnsi="Arial" w:cs="Calibri"/>
          <w:bCs/>
          <w:kern w:val="0"/>
          <w:sz w:val="20"/>
          <w:szCs w:val="20"/>
          <w:lang w:val="en-US"/>
          <w14:ligatures w14:val="none"/>
        </w:rPr>
        <w:t xml:space="preserve">: </w:t>
      </w:r>
      <w:r w:rsidR="005E11F9" w:rsidRPr="005E11F9">
        <w:rPr>
          <w:rFonts w:ascii="Arial" w:eastAsia="Calibri" w:hAnsi="Arial" w:cs="Calibri"/>
          <w:bCs/>
          <w:kern w:val="0"/>
          <w:sz w:val="20"/>
          <w:szCs w:val="20"/>
          <w:lang w:val="en-US"/>
          <w14:ligatures w14:val="none"/>
        </w:rPr>
        <w:t>120240</w:t>
      </w:r>
    </w:p>
    <w:sectPr w:rsidR="00291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B4583"/>
    <w:rsid w:val="00107368"/>
    <w:rsid w:val="00113BB7"/>
    <w:rsid w:val="0014333A"/>
    <w:rsid w:val="00174DCF"/>
    <w:rsid w:val="001B4F7C"/>
    <w:rsid w:val="002017E6"/>
    <w:rsid w:val="00211D4E"/>
    <w:rsid w:val="00291315"/>
    <w:rsid w:val="00294059"/>
    <w:rsid w:val="002C039D"/>
    <w:rsid w:val="003065A1"/>
    <w:rsid w:val="003206E4"/>
    <w:rsid w:val="003477F5"/>
    <w:rsid w:val="00356061"/>
    <w:rsid w:val="00386D01"/>
    <w:rsid w:val="003A6D5C"/>
    <w:rsid w:val="003C5A5F"/>
    <w:rsid w:val="0048148C"/>
    <w:rsid w:val="004A2263"/>
    <w:rsid w:val="004A51B6"/>
    <w:rsid w:val="00510CF8"/>
    <w:rsid w:val="005674DD"/>
    <w:rsid w:val="00575A29"/>
    <w:rsid w:val="00590216"/>
    <w:rsid w:val="005E11F9"/>
    <w:rsid w:val="00601754"/>
    <w:rsid w:val="006214F2"/>
    <w:rsid w:val="006A34BE"/>
    <w:rsid w:val="006F3F1C"/>
    <w:rsid w:val="007141F2"/>
    <w:rsid w:val="007561D8"/>
    <w:rsid w:val="00795378"/>
    <w:rsid w:val="00796206"/>
    <w:rsid w:val="007C367E"/>
    <w:rsid w:val="008071C5"/>
    <w:rsid w:val="00881614"/>
    <w:rsid w:val="00891400"/>
    <w:rsid w:val="008D05FA"/>
    <w:rsid w:val="00906D34"/>
    <w:rsid w:val="00933DC9"/>
    <w:rsid w:val="00936D4C"/>
    <w:rsid w:val="009523F9"/>
    <w:rsid w:val="009650DF"/>
    <w:rsid w:val="009A26FE"/>
    <w:rsid w:val="009B1CBB"/>
    <w:rsid w:val="00A0516D"/>
    <w:rsid w:val="00AC1543"/>
    <w:rsid w:val="00B4721D"/>
    <w:rsid w:val="00B8473A"/>
    <w:rsid w:val="00B8518C"/>
    <w:rsid w:val="00C21815"/>
    <w:rsid w:val="00C315D2"/>
    <w:rsid w:val="00C353D8"/>
    <w:rsid w:val="00CF5A91"/>
    <w:rsid w:val="00D02BB1"/>
    <w:rsid w:val="00D45A74"/>
    <w:rsid w:val="00D7428F"/>
    <w:rsid w:val="00D75D83"/>
    <w:rsid w:val="00E25D27"/>
    <w:rsid w:val="00EC3746"/>
    <w:rsid w:val="00F1328A"/>
    <w:rsid w:val="00F539FB"/>
    <w:rsid w:val="00F85460"/>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table" w:styleId="TableGrid">
    <w:name w:val="Table Grid"/>
    <w:basedOn w:val="TableNormal"/>
    <w:uiPriority w:val="59"/>
    <w:rsid w:val="00881614"/>
    <w:pPr>
      <w:spacing w:after="0" w:line="240" w:lineRule="auto"/>
    </w:pPr>
    <w:rPr>
      <w:rFonts w:ascii="Times New Roman" w:eastAsia="Times New Roman"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5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SONY</cp:lastModifiedBy>
  <cp:revision>11</cp:revision>
  <dcterms:created xsi:type="dcterms:W3CDTF">2025-05-30T00:26:00Z</dcterms:created>
  <dcterms:modified xsi:type="dcterms:W3CDTF">2025-05-30T07:39:00Z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