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AE06" w14:textId="69A70977" w:rsidR="006A0B91" w:rsidRPr="00B5456A" w:rsidRDefault="00F44E12" w:rsidP="00C315D2">
      <w:pPr>
        <w:spacing w:after="0" w:line="240" w:lineRule="auto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  <w:r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>S</w:t>
      </w:r>
      <w:r w:rsidR="00DC1C0D"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torage </w:t>
      </w:r>
      <w:r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>S</w:t>
      </w:r>
      <w:r w:rsidR="00DC1C0D"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tability </w:t>
      </w:r>
      <w:r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>A</w:t>
      </w:r>
      <w:r w:rsidR="00DC1C0D" w:rsidRPr="00B5456A">
        <w:rPr>
          <w:rFonts w:ascii="Arial" w:eastAsia="Calibri" w:hAnsi="Arial" w:cs="Arial"/>
          <w:b/>
          <w:bCs/>
          <w:kern w:val="0"/>
          <w:lang w:val="en-US"/>
          <w14:ligatures w14:val="none"/>
        </w:rPr>
        <w:t>ssessment of Gentamicin in IV solution</w:t>
      </w:r>
    </w:p>
    <w:p w14:paraId="0581F743" w14:textId="611A7B9B" w:rsidR="004A5D36" w:rsidRPr="001E56E7" w:rsidRDefault="004A5D36" w:rsidP="00C315D2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vertAlign w:val="superscript"/>
          <w:lang w:val="en-US"/>
          <w14:ligatures w14:val="none"/>
        </w:rPr>
      </w:pPr>
      <w:r w:rsidRPr="001E56E7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  <w:t>Md Khairul Islam</w:t>
      </w:r>
      <w:r w:rsidR="0060196E" w:rsidRPr="001E56E7">
        <w:rPr>
          <w:rFonts w:ascii="Arial" w:eastAsia="Calibri" w:hAnsi="Arial" w:cs="Arial"/>
          <w:b/>
          <w:bCs/>
          <w:kern w:val="0"/>
          <w:sz w:val="20"/>
          <w:szCs w:val="20"/>
          <w:u w:val="single"/>
          <w:vertAlign w:val="superscript"/>
          <w:lang w:val="en-US"/>
          <w14:ligatures w14:val="none"/>
        </w:rPr>
        <w:t>1</w:t>
      </w:r>
      <w:r w:rsidR="001E56E7">
        <w:rPr>
          <w:rFonts w:ascii="Arial" w:eastAsia="Calibri" w:hAnsi="Arial" w:cs="Arial"/>
          <w:b/>
          <w:bCs/>
          <w:kern w:val="0"/>
          <w:sz w:val="20"/>
          <w:szCs w:val="20"/>
          <w:u w:val="single"/>
          <w:vertAlign w:val="superscript"/>
          <w:lang w:val="en-US"/>
          <w14:ligatures w14:val="none"/>
        </w:rPr>
        <w:t>,2</w:t>
      </w:r>
      <w:r w:rsidRPr="001E56E7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  <w:t>,</w:t>
      </w:r>
      <w:r w:rsidRPr="001E56E7">
        <w:rPr>
          <w:rFonts w:ascii="Arial" w:eastAsia="Calibri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925E7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Edith Kai Yan Tang</w:t>
      </w:r>
      <w:r w:rsidR="0060196E" w:rsidRPr="001E56E7">
        <w:rPr>
          <w:rFonts w:ascii="Arial" w:eastAsia="Calibri" w:hAnsi="Arial" w:cs="Arial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="00DD28A7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,</w:t>
      </w:r>
      <w:r w:rsidR="006750C1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2A4505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Lee Yong Lim</w:t>
      </w:r>
      <w:r w:rsidR="00D54D4A" w:rsidRPr="001E56E7">
        <w:rPr>
          <w:rFonts w:ascii="Arial" w:eastAsia="Calibri" w:hAnsi="Arial" w:cs="Arial"/>
          <w:kern w:val="0"/>
          <w:sz w:val="20"/>
          <w:szCs w:val="20"/>
          <w:vertAlign w:val="superscript"/>
          <w:lang w:val="en-US"/>
          <w14:ligatures w14:val="none"/>
        </w:rPr>
        <w:t>1,2</w:t>
      </w:r>
      <w:r w:rsidR="006A3175">
        <w:rPr>
          <w:rFonts w:ascii="Arial" w:eastAsia="Calibri" w:hAnsi="Arial" w:cs="Arial"/>
          <w:kern w:val="0"/>
          <w:sz w:val="20"/>
          <w:szCs w:val="20"/>
          <w:vertAlign w:val="superscript"/>
          <w:lang w:val="en-US"/>
          <w14:ligatures w14:val="none"/>
        </w:rPr>
        <w:t>,3</w:t>
      </w:r>
      <w:r w:rsidR="002A4505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r w:rsidR="00CE0183" w:rsidRPr="00CE0183">
        <w:rPr>
          <w:rFonts w:ascii="Arial" w:eastAsia="Calibri" w:hAnsi="Arial" w:cs="Arial" w:hint="cs"/>
          <w:kern w:val="0"/>
          <w:sz w:val="20"/>
          <w:szCs w:val="20"/>
          <w14:ligatures w14:val="none"/>
        </w:rPr>
        <w:t>Nabeelah Mukadam</w:t>
      </w:r>
      <w:r w:rsidR="009F14AB" w:rsidRPr="009A7DA4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4</w:t>
      </w:r>
      <w:r w:rsidR="009F14A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CE0183" w:rsidRPr="00CE018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2A4505" w:rsidRPr="001E56E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Cornelia Locher</w:t>
      </w:r>
      <w:r w:rsidR="00D54D4A" w:rsidRPr="001E56E7">
        <w:rPr>
          <w:rFonts w:ascii="Arial" w:eastAsia="Calibri" w:hAnsi="Arial" w:cs="Arial"/>
          <w:kern w:val="0"/>
          <w:sz w:val="20"/>
          <w:szCs w:val="20"/>
          <w:vertAlign w:val="superscript"/>
          <w:lang w:val="en-US"/>
          <w14:ligatures w14:val="none"/>
        </w:rPr>
        <w:t>1,2</w:t>
      </w:r>
      <w:r w:rsidR="006A3175">
        <w:rPr>
          <w:rFonts w:ascii="Arial" w:eastAsia="Calibri" w:hAnsi="Arial" w:cs="Arial"/>
          <w:kern w:val="0"/>
          <w:sz w:val="20"/>
          <w:szCs w:val="20"/>
          <w:vertAlign w:val="superscript"/>
          <w:lang w:val="en-US"/>
          <w14:ligatures w14:val="none"/>
        </w:rPr>
        <w:t>,3</w:t>
      </w:r>
    </w:p>
    <w:p w14:paraId="171B5308" w14:textId="6DF69564" w:rsidR="00BA3B9C" w:rsidRPr="001E56E7" w:rsidRDefault="004662E9" w:rsidP="00D0661F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Department of Pharmacy, School of Health and Clinical Sciences</w:t>
      </w:r>
      <w:r w:rsidR="00D0661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BA3B9C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University of Western Australia</w:t>
      </w:r>
      <w:r w:rsidR="004A564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891DC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Crawley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439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6009 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WA, Australia</w:t>
      </w:r>
    </w:p>
    <w:p w14:paraId="1F40F894" w14:textId="25506A32" w:rsidR="0055109F" w:rsidRDefault="00D0661F" w:rsidP="0055109F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Centre for Optimisation of Medicines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University of Western Australia</w:t>
      </w:r>
      <w:r w:rsidR="004A564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891DC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Crawley </w:t>
      </w:r>
      <w:r w:rsidR="00A439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6009 </w:t>
      </w:r>
      <w:r w:rsidR="0055109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WA, Australia</w:t>
      </w:r>
    </w:p>
    <w:p w14:paraId="4D10273F" w14:textId="3384F0F7" w:rsidR="00C97244" w:rsidRDefault="00891DCA" w:rsidP="0055109F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Institute for Paediatric Perioperative Medicines, The University of Western Australia</w:t>
      </w:r>
      <w:r w:rsidR="004A564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3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Crawley </w:t>
      </w:r>
      <w:r w:rsidR="00A439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6009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WA, Australia</w:t>
      </w:r>
    </w:p>
    <w:p w14:paraId="69C9D144" w14:textId="07B8F897" w:rsidR="009F14AB" w:rsidRPr="001E56E7" w:rsidRDefault="009F14AB" w:rsidP="0055109F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King Edward Memorial Hospital</w:t>
      </w:r>
      <w:r w:rsidR="004A564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4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F930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Subiaco </w:t>
      </w:r>
      <w:r w:rsidR="00A439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6008 </w:t>
      </w:r>
      <w:r w:rsidR="00F930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WA, Australia</w:t>
      </w:r>
    </w:p>
    <w:p w14:paraId="2DD37039" w14:textId="00B610BE" w:rsidR="00C315D2" w:rsidRPr="001E56E7" w:rsidRDefault="00C315D2" w:rsidP="00C315D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0FEA88FB" w14:textId="77777777" w:rsidR="00AA4CC5" w:rsidRPr="001E56E7" w:rsidRDefault="00AA4CC5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</w:p>
    <w:p w14:paraId="158BB285" w14:textId="0CE32741" w:rsidR="00AA4CC5" w:rsidRPr="001E56E7" w:rsidRDefault="008A7285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Aminoglycosides</w:t>
      </w:r>
      <w:r w:rsidR="0008597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are bactericidal antibiotics that treat infections by binding to bacterial ribosomes, disrupting protein synthesis and causing cell </w:t>
      </w:r>
      <w:r w:rsidRPr="0008597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death</w:t>
      </w:r>
      <w:r w:rsidR="00237063" w:rsidRPr="0008597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1,2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Due to poor oral absorption, they are usually administered intravenously or intramuscularly. </w:t>
      </w:r>
      <w:r w:rsidR="00A50AF9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</w:t>
      </w:r>
      <w:r w:rsidR="0059790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is</w:t>
      </w:r>
      <w:r w:rsidR="00A50AF9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study </w:t>
      </w:r>
      <w:r w:rsidR="00E464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focuses on the</w:t>
      </w:r>
      <w:r w:rsidR="00A50AF9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E77C4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aminoglycoside</w:t>
      </w:r>
      <w:r w:rsidR="00A50AF9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gentam</w:t>
      </w:r>
      <w:r w:rsidR="004E6E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</w:t>
      </w:r>
      <w:r w:rsidR="00A50AF9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cin, which is parenterally administered to very sick children.</w:t>
      </w:r>
      <w:r w:rsidR="0077731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It aims to</w:t>
      </w:r>
      <w:r w:rsidR="009941D7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provide stability data for diluted gentamicin</w:t>
      </w:r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solution</w:t>
      </w:r>
      <w:r w:rsidR="009941D7" w:rsidRPr="00E464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941D7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at both refrigerated (4°C) and ambient temperatures</w:t>
      </w:r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with and without light exposure</w:t>
      </w:r>
      <w:r w:rsidR="000264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Th</w:t>
      </w:r>
      <w:r w:rsidR="00A3747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</w:t>
      </w:r>
      <w:r w:rsidR="000264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data is generated to potentially </w:t>
      </w:r>
      <w:r w:rsidR="0028332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support the preparation of </w:t>
      </w:r>
      <w:r w:rsidR="009941D7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single-use syringes at accredited compounding facilities</w:t>
      </w:r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proofErr w:type="gramStart"/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 order to</w:t>
      </w:r>
      <w:proofErr w:type="gramEnd"/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941D7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mitigate risks </w:t>
      </w:r>
      <w:r w:rsidR="00A3747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associated with</w:t>
      </w:r>
      <w:r w:rsidR="009941D7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on-site dilution </w:t>
      </w:r>
      <w:r w:rsidR="00994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to obtain weight appropriate paediatric doses. </w:t>
      </w:r>
    </w:p>
    <w:p w14:paraId="4ECB0A6D" w14:textId="77777777" w:rsidR="008A7285" w:rsidRPr="001E56E7" w:rsidRDefault="008A7285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B4C6498" w14:textId="77777777" w:rsidR="00AA4CC5" w:rsidRPr="001E56E7" w:rsidRDefault="00AA4CC5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</w:t>
      </w:r>
    </w:p>
    <w:p w14:paraId="2BC14A6C" w14:textId="4D2141D4" w:rsidR="00E95409" w:rsidRPr="001E56E7" w:rsidRDefault="00423914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entamicin </w:t>
      </w:r>
      <w:r w:rsidR="00191884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solution</w:t>
      </w:r>
      <w:r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37472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 w:rsidR="00020A1E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40 </w:t>
      </w:r>
      <w:r w:rsidR="00A37472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mg/mL) </w:t>
      </w:r>
      <w:r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was</w:t>
      </w:r>
      <w:r w:rsidR="00191884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diluted </w:t>
      </w:r>
      <w:r w:rsidR="00085977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 saline solution </w:t>
      </w:r>
      <w:r w:rsidR="00A37472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</w:t>
      </w:r>
      <w:r w:rsid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B7A9D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10</w:t>
      </w:r>
      <w:r w:rsidR="00A37472" w:rsidRPr="005E5C0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mg/mL</w:t>
      </w:r>
      <w:r w:rsidR="00A3747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and stored at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ambient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temperature and refrigerated (4 °C), both protected from light and exposed to artificial light. Samples were monitored over </w:t>
      </w:r>
      <w:r w:rsidR="00A214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</w:t>
      </w:r>
      <w:r w:rsidR="00AE740F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six-month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period</w:t>
      </w:r>
      <w:r w:rsidR="002C5AA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drug content, pH, and turbidity. A novel High-Performance Thin-Layer Chromatography (HPTLC) assay was developed and validated according to ICH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uidelines to measure drug content</w:t>
      </w:r>
      <w:r w:rsidR="00C41E00" w:rsidRPr="001E56E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3,4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pH and turbidity were measured using a calibrated pH meter (Ohaus S</w:t>
      </w:r>
      <w:r w:rsidR="0031588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</w:t>
      </w:r>
      <w:r w:rsidR="0027193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ARTER 3100</w:t>
      </w:r>
      <w:r w:rsidR="00191884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and </w:t>
      </w:r>
      <w:r w:rsidR="00191884" w:rsidRPr="00F01C4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nephelometer (</w:t>
      </w:r>
      <w:hyperlink r:id="rId8" w:history="1">
        <w:r w:rsidR="0000581A" w:rsidRPr="00F01C48">
          <w:rPr>
            <w:rStyle w:val="Hyperlink"/>
            <w:rFonts w:ascii="Arial" w:eastAsia="Calibri" w:hAnsi="Arial" w:cs="Arial"/>
            <w:bCs/>
            <w:color w:val="auto"/>
            <w:kern w:val="0"/>
            <w:sz w:val="20"/>
            <w:szCs w:val="20"/>
            <w:u w:val="none"/>
            <w14:ligatures w14:val="none"/>
          </w:rPr>
          <w:t>NTU 1100</w:t>
        </w:r>
      </w:hyperlink>
      <w:r w:rsidR="00191884" w:rsidRPr="00F01C4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).</w:t>
      </w:r>
    </w:p>
    <w:p w14:paraId="7BD5C71C" w14:textId="77777777" w:rsidR="005B08AB" w:rsidRPr="001E56E7" w:rsidRDefault="005B08AB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09DE01AF" w14:textId="77777777" w:rsidR="00AA4CC5" w:rsidRPr="001E56E7" w:rsidRDefault="00AA4CC5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Results</w:t>
      </w:r>
    </w:p>
    <w:p w14:paraId="65749D9F" w14:textId="4B1EEF30" w:rsidR="00D64217" w:rsidRPr="001E56E7" w:rsidRDefault="008A5C1A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study found that </w:t>
      </w:r>
      <w:r w:rsidR="00A214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over three months 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gentamicin content</w:t>
      </w:r>
      <w:r w:rsidR="007D5CA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 the saline diluted test solutions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A00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remain</w:t>
      </w:r>
      <w:r w:rsidR="007D5CA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ed</w:t>
      </w:r>
      <w:r w:rsidR="005D441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E7EF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within 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the British Pharmacopoeia-accepted range (</w:t>
      </w:r>
      <w:r w:rsidR="001E7EF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98.50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–9</w:t>
      </w:r>
      <w:r w:rsidR="00CA00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9.54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%)</w:t>
      </w:r>
      <w:r w:rsidR="00C41E00" w:rsidRPr="001E56E7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5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under all </w:t>
      </w:r>
      <w:r w:rsidR="00A214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investigated storage 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conditions. pH and turbidity </w:t>
      </w:r>
      <w:r w:rsidR="00A214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also 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remained stable over </w:t>
      </w:r>
      <w:r w:rsidR="00A2144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period, with turbidity values ranging from 0.00 to 0.07 and pH remaining </w:t>
      </w:r>
      <w:r w:rsidR="00002F7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stable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4A8EDBCD" w14:textId="77777777" w:rsidR="004227F9" w:rsidRPr="001E56E7" w:rsidRDefault="004227F9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C26D232" w14:textId="247C8D45" w:rsidR="00AA4CC5" w:rsidRPr="001E56E7" w:rsidRDefault="00AA4CC5" w:rsidP="00AA4CC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E56E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</w:t>
      </w:r>
    </w:p>
    <w:p w14:paraId="2840B927" w14:textId="158EDA1C" w:rsidR="003979D9" w:rsidRPr="001E56E7" w:rsidRDefault="0002642C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Given the stability of the diluted gentam</w:t>
      </w:r>
      <w:r w:rsidR="0018685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cin solution</w:t>
      </w:r>
      <w:r w:rsidR="00CD708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at all investigated storage conditions, t</w:t>
      </w:r>
      <w:r w:rsidR="00721B30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he project</w:t>
      </w:r>
      <w:r w:rsidR="006938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’s findings </w:t>
      </w:r>
      <w:r w:rsidR="00F15C6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support</w:t>
      </w:r>
      <w:r w:rsidR="00721B30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F90592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preparation of ready-to-use, patient-specific gentamicin syringes </w:t>
      </w:r>
      <w:r w:rsidR="006938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that can be compounded to the required strength by accredited compounding facilities</w:t>
      </w:r>
      <w:r w:rsidR="00F15C6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This approach </w:t>
      </w:r>
      <w:r w:rsidR="00CD708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will</w:t>
      </w:r>
      <w:r w:rsidR="0069382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21B30"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enhance medication safety and accessibility</w:t>
      </w:r>
      <w:r w:rsidR="000C33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as it avoids ad hoc on-site preparation and with this potential dosing errors.</w:t>
      </w:r>
    </w:p>
    <w:p w14:paraId="19AE6E80" w14:textId="77777777" w:rsidR="002E3DD4" w:rsidRPr="001E56E7" w:rsidRDefault="002E3DD4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AAC5A65" w14:textId="77777777" w:rsidR="00D124CD" w:rsidRPr="001E56E7" w:rsidRDefault="00D124CD" w:rsidP="00AA4CC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C801966" w14:textId="44ED6438" w:rsidR="00C315D2" w:rsidRPr="001E56E7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E56E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1E56E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67839D6F" w14:textId="5A2184C3" w:rsidR="000F55CD" w:rsidRPr="001E56E7" w:rsidRDefault="00CF63E3" w:rsidP="00CF63E3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proofErr w:type="spellStart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Kotra</w:t>
      </w:r>
      <w:proofErr w:type="spellEnd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, L. P., Haddad, J., &amp; </w:t>
      </w:r>
      <w:proofErr w:type="spellStart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Mobashery</w:t>
      </w:r>
      <w:proofErr w:type="spellEnd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, S. (2000). Aminoglycosides: perspectives on mechanisms of action and resistance and strategies to counter resistance. Antimicrobial Agents and Chemotherapy, 44(12), 3249–3256.</w:t>
      </w:r>
    </w:p>
    <w:p w14:paraId="6C022F12" w14:textId="2D7C30A8" w:rsidR="00237063" w:rsidRPr="001E56E7" w:rsidRDefault="00237063" w:rsidP="00CF63E3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27098C">
        <w:rPr>
          <w:rFonts w:ascii="Arial" w:eastAsia="Calibri" w:hAnsi="Arial" w:cs="Arial"/>
          <w:bCs/>
          <w:kern w:val="0"/>
          <w:sz w:val="20"/>
          <w:szCs w:val="20"/>
          <w:lang w:val="de-DE"/>
          <w14:ligatures w14:val="none"/>
        </w:rPr>
        <w:t xml:space="preserve">Vakulenko, S. B., &amp; Mobashery, S. (2003). </w:t>
      </w:r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Versatility of aminoglycosides and prospects for their future. Clinical Microbiology Reviews, 16(3), 430–450.</w:t>
      </w:r>
    </w:p>
    <w:p w14:paraId="030F8AB0" w14:textId="77777777" w:rsidR="006A2200" w:rsidRPr="001E56E7" w:rsidRDefault="00753802" w:rsidP="00CF63E3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C. P. </w:t>
      </w:r>
      <w:proofErr w:type="spellStart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Bhogte</w:t>
      </w:r>
      <w:proofErr w:type="spellEnd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, V. B. </w:t>
      </w:r>
      <w:proofErr w:type="spellStart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Patravale</w:t>
      </w:r>
      <w:proofErr w:type="spellEnd"/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and P. V. Devarajan</w:t>
      </w:r>
      <w:r w:rsidR="006344C3"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(1997). </w:t>
      </w:r>
      <w:proofErr w:type="spellStart"/>
      <w:r w:rsidR="006344C3"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Fluorodensitometric</w:t>
      </w:r>
      <w:proofErr w:type="spellEnd"/>
      <w:r w:rsidR="006344C3"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evaluation of gentamicin from plasma and urine by high-performance thin-layer chromatography. </w:t>
      </w:r>
      <w:r w:rsidR="006A2200"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Journal of Chromatography B: Biomedical Sciences and Applications 694(2), 443-447</w:t>
      </w:r>
    </w:p>
    <w:p w14:paraId="13653C7A" w14:textId="1C4D0893" w:rsidR="00753802" w:rsidRPr="001E56E7" w:rsidRDefault="004F5A8F" w:rsidP="00CF63E3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International Conference on Harmonization (2005) Validation of analytical procedures: text and methodology, Q2 (R1). Geneva 1:1–15</w:t>
      </w:r>
    </w:p>
    <w:p w14:paraId="59F396A8" w14:textId="70E79E6B" w:rsidR="00B92F6F" w:rsidRPr="001E56E7" w:rsidRDefault="00B92F6F" w:rsidP="00CF63E3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1E56E7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British Pharmacopoeia Commission. British Pharmacopoeia 2024. London: TSO (The Stationery Office); 2023. Available from: https://www.pharmacopoeia.com</w:t>
      </w:r>
    </w:p>
    <w:sectPr w:rsidR="00B92F6F" w:rsidRPr="001E5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640"/>
    <w:multiLevelType w:val="hybridMultilevel"/>
    <w:tmpl w:val="8E469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F2A47"/>
    <w:multiLevelType w:val="hybridMultilevel"/>
    <w:tmpl w:val="E926E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85325">
    <w:abstractNumId w:val="1"/>
  </w:num>
  <w:num w:numId="2" w16cid:durableId="1633318846">
    <w:abstractNumId w:val="2"/>
  </w:num>
  <w:num w:numId="3" w16cid:durableId="9504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2F7E"/>
    <w:rsid w:val="0000581A"/>
    <w:rsid w:val="00011F50"/>
    <w:rsid w:val="00020A1E"/>
    <w:rsid w:val="000249CF"/>
    <w:rsid w:val="0002642C"/>
    <w:rsid w:val="00030924"/>
    <w:rsid w:val="00041281"/>
    <w:rsid w:val="00054F61"/>
    <w:rsid w:val="0007242D"/>
    <w:rsid w:val="00085977"/>
    <w:rsid w:val="00094FAA"/>
    <w:rsid w:val="000A03EA"/>
    <w:rsid w:val="000C0CD9"/>
    <w:rsid w:val="000C3376"/>
    <w:rsid w:val="000D4365"/>
    <w:rsid w:val="000F44A2"/>
    <w:rsid w:val="000F55CD"/>
    <w:rsid w:val="000F691D"/>
    <w:rsid w:val="00107368"/>
    <w:rsid w:val="00113BB7"/>
    <w:rsid w:val="00114175"/>
    <w:rsid w:val="00115FFD"/>
    <w:rsid w:val="00140A39"/>
    <w:rsid w:val="0018135D"/>
    <w:rsid w:val="00186858"/>
    <w:rsid w:val="00191884"/>
    <w:rsid w:val="001A0390"/>
    <w:rsid w:val="001A101D"/>
    <w:rsid w:val="001A24D3"/>
    <w:rsid w:val="001B4654"/>
    <w:rsid w:val="001D4CED"/>
    <w:rsid w:val="001E56E7"/>
    <w:rsid w:val="001E5F67"/>
    <w:rsid w:val="001E7EF7"/>
    <w:rsid w:val="002017E6"/>
    <w:rsid w:val="00207E26"/>
    <w:rsid w:val="00235202"/>
    <w:rsid w:val="00237063"/>
    <w:rsid w:val="00257A97"/>
    <w:rsid w:val="00267F16"/>
    <w:rsid w:val="0027098C"/>
    <w:rsid w:val="0027193A"/>
    <w:rsid w:val="00283327"/>
    <w:rsid w:val="00284C73"/>
    <w:rsid w:val="00294059"/>
    <w:rsid w:val="002A4505"/>
    <w:rsid w:val="002A588C"/>
    <w:rsid w:val="002C2364"/>
    <w:rsid w:val="002C47B5"/>
    <w:rsid w:val="002C5AA5"/>
    <w:rsid w:val="002E3DD4"/>
    <w:rsid w:val="002F4AD1"/>
    <w:rsid w:val="00304C3A"/>
    <w:rsid w:val="00315889"/>
    <w:rsid w:val="003206E4"/>
    <w:rsid w:val="00323255"/>
    <w:rsid w:val="003514DD"/>
    <w:rsid w:val="00353EFD"/>
    <w:rsid w:val="003823BE"/>
    <w:rsid w:val="00383ADD"/>
    <w:rsid w:val="00384DC8"/>
    <w:rsid w:val="003954E0"/>
    <w:rsid w:val="003979D9"/>
    <w:rsid w:val="003A40CC"/>
    <w:rsid w:val="003A6D5C"/>
    <w:rsid w:val="003B3B2F"/>
    <w:rsid w:val="003B4805"/>
    <w:rsid w:val="003C42EC"/>
    <w:rsid w:val="003E3028"/>
    <w:rsid w:val="003E3A48"/>
    <w:rsid w:val="003E5229"/>
    <w:rsid w:val="003E774E"/>
    <w:rsid w:val="003F18FB"/>
    <w:rsid w:val="004120AE"/>
    <w:rsid w:val="004227F9"/>
    <w:rsid w:val="00423493"/>
    <w:rsid w:val="00423914"/>
    <w:rsid w:val="0042479B"/>
    <w:rsid w:val="00424D63"/>
    <w:rsid w:val="004325C2"/>
    <w:rsid w:val="00434311"/>
    <w:rsid w:val="0045141E"/>
    <w:rsid w:val="004662E9"/>
    <w:rsid w:val="0048702B"/>
    <w:rsid w:val="004931ED"/>
    <w:rsid w:val="004A1FEC"/>
    <w:rsid w:val="004A51B6"/>
    <w:rsid w:val="004A5647"/>
    <w:rsid w:val="004A5D36"/>
    <w:rsid w:val="004C4F3C"/>
    <w:rsid w:val="004E19CF"/>
    <w:rsid w:val="004E6E9F"/>
    <w:rsid w:val="004F5A8F"/>
    <w:rsid w:val="00510CF8"/>
    <w:rsid w:val="00512DFB"/>
    <w:rsid w:val="00516E29"/>
    <w:rsid w:val="005313C3"/>
    <w:rsid w:val="0055109F"/>
    <w:rsid w:val="00554163"/>
    <w:rsid w:val="00556892"/>
    <w:rsid w:val="00556BA6"/>
    <w:rsid w:val="00567A22"/>
    <w:rsid w:val="00575A29"/>
    <w:rsid w:val="00595CE6"/>
    <w:rsid w:val="00595F54"/>
    <w:rsid w:val="00597905"/>
    <w:rsid w:val="005B08AB"/>
    <w:rsid w:val="005D441E"/>
    <w:rsid w:val="005D6CD2"/>
    <w:rsid w:val="005E5C07"/>
    <w:rsid w:val="00601754"/>
    <w:rsid w:val="0060196E"/>
    <w:rsid w:val="006302CD"/>
    <w:rsid w:val="006344C3"/>
    <w:rsid w:val="00642C05"/>
    <w:rsid w:val="006650EA"/>
    <w:rsid w:val="006750C1"/>
    <w:rsid w:val="0069382F"/>
    <w:rsid w:val="006A08A1"/>
    <w:rsid w:val="006A0B91"/>
    <w:rsid w:val="006A2200"/>
    <w:rsid w:val="006A3175"/>
    <w:rsid w:val="006A34BE"/>
    <w:rsid w:val="006E615B"/>
    <w:rsid w:val="006F1564"/>
    <w:rsid w:val="006F3F1C"/>
    <w:rsid w:val="007141F2"/>
    <w:rsid w:val="00721B30"/>
    <w:rsid w:val="0072383E"/>
    <w:rsid w:val="00725BF5"/>
    <w:rsid w:val="00726A34"/>
    <w:rsid w:val="007426DD"/>
    <w:rsid w:val="00753802"/>
    <w:rsid w:val="007561D8"/>
    <w:rsid w:val="00760D0D"/>
    <w:rsid w:val="00761ECA"/>
    <w:rsid w:val="00776A4B"/>
    <w:rsid w:val="00777314"/>
    <w:rsid w:val="00795378"/>
    <w:rsid w:val="00796206"/>
    <w:rsid w:val="007A241F"/>
    <w:rsid w:val="007A6941"/>
    <w:rsid w:val="007B2235"/>
    <w:rsid w:val="007C367E"/>
    <w:rsid w:val="007C488D"/>
    <w:rsid w:val="007D5CAA"/>
    <w:rsid w:val="007E5A01"/>
    <w:rsid w:val="007F1068"/>
    <w:rsid w:val="007F5FF1"/>
    <w:rsid w:val="008071C5"/>
    <w:rsid w:val="008303CA"/>
    <w:rsid w:val="00875A70"/>
    <w:rsid w:val="00891DCA"/>
    <w:rsid w:val="008A5C1A"/>
    <w:rsid w:val="008A7285"/>
    <w:rsid w:val="008B3C79"/>
    <w:rsid w:val="008C185B"/>
    <w:rsid w:val="008D1B52"/>
    <w:rsid w:val="008E0172"/>
    <w:rsid w:val="00902970"/>
    <w:rsid w:val="00906D34"/>
    <w:rsid w:val="00907336"/>
    <w:rsid w:val="009255EA"/>
    <w:rsid w:val="00933DC9"/>
    <w:rsid w:val="00936D4C"/>
    <w:rsid w:val="009523F9"/>
    <w:rsid w:val="009650DF"/>
    <w:rsid w:val="00974092"/>
    <w:rsid w:val="00976E18"/>
    <w:rsid w:val="009925E7"/>
    <w:rsid w:val="009941D7"/>
    <w:rsid w:val="009956E6"/>
    <w:rsid w:val="009A5190"/>
    <w:rsid w:val="009A5267"/>
    <w:rsid w:val="009A7DA4"/>
    <w:rsid w:val="009B1CBB"/>
    <w:rsid w:val="009B790F"/>
    <w:rsid w:val="009C7C4C"/>
    <w:rsid w:val="009F14AB"/>
    <w:rsid w:val="00A03728"/>
    <w:rsid w:val="00A0516D"/>
    <w:rsid w:val="00A21442"/>
    <w:rsid w:val="00A32C77"/>
    <w:rsid w:val="00A37472"/>
    <w:rsid w:val="00A413C3"/>
    <w:rsid w:val="00A439E8"/>
    <w:rsid w:val="00A50AF9"/>
    <w:rsid w:val="00A56485"/>
    <w:rsid w:val="00A71F9C"/>
    <w:rsid w:val="00A74ED1"/>
    <w:rsid w:val="00A83D05"/>
    <w:rsid w:val="00A91946"/>
    <w:rsid w:val="00AA4CC5"/>
    <w:rsid w:val="00AE1F35"/>
    <w:rsid w:val="00AE740F"/>
    <w:rsid w:val="00AF15C4"/>
    <w:rsid w:val="00B23B6F"/>
    <w:rsid w:val="00B317B2"/>
    <w:rsid w:val="00B4721D"/>
    <w:rsid w:val="00B5456A"/>
    <w:rsid w:val="00B54D48"/>
    <w:rsid w:val="00B63AC7"/>
    <w:rsid w:val="00B66D13"/>
    <w:rsid w:val="00B82FCA"/>
    <w:rsid w:val="00B8473A"/>
    <w:rsid w:val="00B852E8"/>
    <w:rsid w:val="00B92F6F"/>
    <w:rsid w:val="00B94F91"/>
    <w:rsid w:val="00BA3B9C"/>
    <w:rsid w:val="00BB785D"/>
    <w:rsid w:val="00BF0441"/>
    <w:rsid w:val="00C0075A"/>
    <w:rsid w:val="00C15393"/>
    <w:rsid w:val="00C21815"/>
    <w:rsid w:val="00C315D2"/>
    <w:rsid w:val="00C353D8"/>
    <w:rsid w:val="00C41E00"/>
    <w:rsid w:val="00C60A54"/>
    <w:rsid w:val="00C66BF4"/>
    <w:rsid w:val="00C869BC"/>
    <w:rsid w:val="00C86D80"/>
    <w:rsid w:val="00C8740F"/>
    <w:rsid w:val="00C9597A"/>
    <w:rsid w:val="00C97244"/>
    <w:rsid w:val="00CA0019"/>
    <w:rsid w:val="00CB0E9D"/>
    <w:rsid w:val="00CB7A9D"/>
    <w:rsid w:val="00CD3E64"/>
    <w:rsid w:val="00CD708D"/>
    <w:rsid w:val="00CE0183"/>
    <w:rsid w:val="00CF4205"/>
    <w:rsid w:val="00CF5A91"/>
    <w:rsid w:val="00CF63E3"/>
    <w:rsid w:val="00D02BB1"/>
    <w:rsid w:val="00D0661F"/>
    <w:rsid w:val="00D124CD"/>
    <w:rsid w:val="00D17B40"/>
    <w:rsid w:val="00D31813"/>
    <w:rsid w:val="00D36635"/>
    <w:rsid w:val="00D41472"/>
    <w:rsid w:val="00D41849"/>
    <w:rsid w:val="00D45A74"/>
    <w:rsid w:val="00D54D4A"/>
    <w:rsid w:val="00D64217"/>
    <w:rsid w:val="00D73769"/>
    <w:rsid w:val="00D7428F"/>
    <w:rsid w:val="00D7655D"/>
    <w:rsid w:val="00D8729C"/>
    <w:rsid w:val="00D90834"/>
    <w:rsid w:val="00D94228"/>
    <w:rsid w:val="00DA0395"/>
    <w:rsid w:val="00DA0EB9"/>
    <w:rsid w:val="00DB258D"/>
    <w:rsid w:val="00DB59D8"/>
    <w:rsid w:val="00DC1C0D"/>
    <w:rsid w:val="00DC316C"/>
    <w:rsid w:val="00DD28A7"/>
    <w:rsid w:val="00DE1C8B"/>
    <w:rsid w:val="00DE5D4B"/>
    <w:rsid w:val="00DF558F"/>
    <w:rsid w:val="00E05772"/>
    <w:rsid w:val="00E07C83"/>
    <w:rsid w:val="00E12E97"/>
    <w:rsid w:val="00E24165"/>
    <w:rsid w:val="00E379BE"/>
    <w:rsid w:val="00E464C7"/>
    <w:rsid w:val="00E5337F"/>
    <w:rsid w:val="00E654C2"/>
    <w:rsid w:val="00E728D6"/>
    <w:rsid w:val="00E77C26"/>
    <w:rsid w:val="00E77C4E"/>
    <w:rsid w:val="00E93370"/>
    <w:rsid w:val="00E94516"/>
    <w:rsid w:val="00E95409"/>
    <w:rsid w:val="00EA2C40"/>
    <w:rsid w:val="00EB1BAC"/>
    <w:rsid w:val="00EC13E1"/>
    <w:rsid w:val="00EC3746"/>
    <w:rsid w:val="00ED36FD"/>
    <w:rsid w:val="00EE6881"/>
    <w:rsid w:val="00F01C48"/>
    <w:rsid w:val="00F079DC"/>
    <w:rsid w:val="00F15C67"/>
    <w:rsid w:val="00F30DA3"/>
    <w:rsid w:val="00F329DB"/>
    <w:rsid w:val="00F44E12"/>
    <w:rsid w:val="00F44E70"/>
    <w:rsid w:val="00F539FB"/>
    <w:rsid w:val="00F85528"/>
    <w:rsid w:val="00F876E7"/>
    <w:rsid w:val="00F90592"/>
    <w:rsid w:val="00F93030"/>
    <w:rsid w:val="00FC153D"/>
    <w:rsid w:val="00FC73D0"/>
    <w:rsid w:val="00FD400C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D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D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3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4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AU/en/product/mm/1183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Khairul Islam</cp:lastModifiedBy>
  <cp:revision>39</cp:revision>
  <cp:lastPrinted>2025-07-13T09:23:00Z</cp:lastPrinted>
  <dcterms:created xsi:type="dcterms:W3CDTF">2025-07-31T04:13:00Z</dcterms:created>
  <dcterms:modified xsi:type="dcterms:W3CDTF">2025-07-31T06:55:00Z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