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5600" w14:textId="3D8F5663" w:rsidR="004F282C" w:rsidRPr="004F282C" w:rsidRDefault="004F282C" w:rsidP="00D7426F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Phytochemicals Based Drug Discovery: An </w:t>
      </w:r>
      <w:r>
        <w:rPr>
          <w:rFonts w:ascii="Arial" w:eastAsia="Calibri" w:hAnsi="Arial" w:cs="Calibri"/>
          <w:b/>
          <w:bCs/>
          <w:i/>
          <w:iCs/>
          <w:kern w:val="0"/>
          <w:lang w:val="en-US"/>
          <w14:ligatures w14:val="none"/>
        </w:rPr>
        <w:t xml:space="preserve">in-silico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Evaluation of Three Traditional Botanicals</w:t>
      </w:r>
      <w:r w:rsidR="00A612E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in a </w:t>
      </w:r>
      <w:r w:rsidR="007560E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marketed </w:t>
      </w:r>
      <w:r w:rsidR="00A612E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polyherbal formulation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. </w:t>
      </w:r>
    </w:p>
    <w:p w14:paraId="2860AEEC" w14:textId="77777777" w:rsidR="00255094" w:rsidRPr="00C315D2" w:rsidRDefault="00255094" w:rsidP="00D7426F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</w:p>
    <w:p w14:paraId="79141BD9" w14:textId="42390E34" w:rsidR="00C315D2" w:rsidRPr="00C315D2" w:rsidRDefault="00163F84" w:rsidP="00D7426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Suvarna G Kini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Mangala Shenoy K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AE397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Shaun Jaiden Dsa</w:t>
      </w:r>
      <w:r w:rsidR="00595C47" w:rsidRPr="00595C4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AE397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A913A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Sinchana</w:t>
      </w:r>
      <w:r w:rsidR="00595C47" w:rsidRPr="00595C4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A913A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Chandni Gupta</w:t>
      </w:r>
      <w:r w:rsidR="00595C47" w:rsidRPr="00595C4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1BB5C76A" w:rsidR="00C315D2" w:rsidRPr="00C315D2" w:rsidRDefault="00C315D2" w:rsidP="00D7426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</w:t>
      </w:r>
      <w:r w:rsidR="00163F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artment of Pharmaceutical Chemistry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163F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Manipal College of Pharmaceutical Sciences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163F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Manipal Academy of Higher Education (MAHE), Manipal, Karnataka, India.</w:t>
      </w:r>
    </w:p>
    <w:p w14:paraId="2DD37039" w14:textId="27AFE901" w:rsidR="00C315D2" w:rsidRPr="00C315D2" w:rsidRDefault="00C315D2" w:rsidP="00D7426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69206238" w14:textId="68A11E2A" w:rsidR="008979BE" w:rsidRPr="00C315D2" w:rsidRDefault="00B8473A" w:rsidP="007110B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1876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0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multi-herbal formulation co</w:t>
      </w:r>
      <w:r w:rsidR="002665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ntaining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Devil’s Claw, Boswellia serrata, and Rosehip extracts, offer</w:t>
      </w:r>
      <w:r w:rsidR="002665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ed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 synergistic approach to target inflammatory pathways, oxidative stress, and cartilage repair. 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</w:t>
      </w:r>
      <w:r w:rsidR="0026650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is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study aimed to evaluate the binding efficacy, stability, and pharmacokinetic profiles of</w:t>
      </w:r>
      <w:r w:rsidR="00D742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phytochemicals </w:t>
      </w:r>
      <w:r w:rsidR="000022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present in the multi-component herbal preparation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against their respective targets using </w:t>
      </w:r>
      <w:r w:rsidR="008979BE" w:rsidRPr="00510B4D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in-silico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approaches. Specific objectives included analyzing COX-2 inhibition by Devil’s Claw iridoids, 5-LOX suppression by Boswellia’s </w:t>
      </w:r>
      <w:proofErr w:type="spellStart"/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boswellic</w:t>
      </w:r>
      <w:proofErr w:type="spellEnd"/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acids, and CP4H modulation by Rosehip’s bioactive compounds to determine their anti-inflammatory and chondroprotective mechanisms.</w:t>
      </w:r>
    </w:p>
    <w:p w14:paraId="15D93483" w14:textId="77777777" w:rsidR="00C315D2" w:rsidRPr="00C315D2" w:rsidRDefault="00C315D2" w:rsidP="007110BA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387B9C3" w14:textId="032D1983" w:rsidR="00C315D2" w:rsidRDefault="00C315D2" w:rsidP="007110B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Computational tools from the Schrödinger Suit</w:t>
      </w:r>
      <w:r w:rsidR="007110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950A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2</w:t>
      </w:r>
      <w:r w:rsidR="00E835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025-1 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were employed for molecular docking, molecular dynamics simulations, MM-GBSA calculations, and ADMET profiling. Protein structures (PDB IDs: 5KIR for COX-2, 6NCF for 5-LOX, 6TEC for CP4H) were prepared and docked with phytochemicals </w:t>
      </w:r>
      <w:r w:rsidR="001A2D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present in the polyherbal formulation </w:t>
      </w:r>
      <w:r w:rsidR="008979BE" w:rsidRPr="008979B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reference drugs. Ligand stability, interaction patterns, and pharmacokinetic compliance (Lipinski’s rules) were assessed</w:t>
      </w:r>
      <w:r w:rsidR="007110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5DB51C4A" w14:textId="77777777" w:rsidR="008979BE" w:rsidRPr="00C315D2" w:rsidRDefault="008979BE" w:rsidP="007110BA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67ED390E" w14:textId="520185B0" w:rsidR="004D33C4" w:rsidRPr="007110BA" w:rsidRDefault="00795378" w:rsidP="007110B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proofErr w:type="spellStart"/>
      <w:r w:rsidR="00FC5605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Harpagide</w:t>
      </w:r>
      <w:proofErr w:type="spellEnd"/>
      <w:r w:rsidR="00FC560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proofErr w:type="gramStart"/>
      <w:r w:rsidR="00FC560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pytochemical</w:t>
      </w:r>
      <w:proofErr w:type="spellEnd"/>
      <w:r w:rsidR="00FC560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 from</w:t>
      </w:r>
      <w:proofErr w:type="gramEnd"/>
      <w:r w:rsidR="00FC560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4D33C4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Devil’s Claw</w:t>
      </w:r>
      <w:r w:rsidR="00FC560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,</w:t>
      </w:r>
      <w:r w:rsidR="004D33C4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exhibited strong COX-2 binding (docking score: </w:t>
      </w:r>
      <w:r w:rsid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-</w:t>
      </w:r>
      <w:r w:rsidR="004D33C4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10.26 kcal/mol), forming hydrogen bonds with TYR355 and PHE518, comparable to Celecoxib (-10.29 kcal/mol). MD simulations confirmed stable ligand-protein interactions (RMSD &lt;2.5 Å). </w:t>
      </w:r>
    </w:p>
    <w:p w14:paraId="60319A3B" w14:textId="62E93298" w:rsidR="004D33C4" w:rsidRPr="007110BA" w:rsidRDefault="00FC5605" w:rsidP="007110B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proofErr w:type="gramStart"/>
      <w:r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Si</w:t>
      </w:r>
      <w:r w:rsidR="00EF11D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milarly</w:t>
      </w:r>
      <w:proofErr w:type="gramEnd"/>
      <w:r w:rsidR="004D33C4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Acetyl-11-keto-β-</w:t>
      </w:r>
      <w:proofErr w:type="spellStart"/>
      <w:r w:rsidR="004D33C4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boswellic</w:t>
      </w:r>
      <w:proofErr w:type="spellEnd"/>
      <w:r w:rsidR="004D33C4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acid </w:t>
      </w:r>
      <w:r w:rsidR="00EF11D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present in </w:t>
      </w:r>
      <w:r w:rsidR="00EF11D1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Boswellia</w:t>
      </w:r>
      <w:r w:rsidR="00EF11D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4D33C4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showed moderate 5-LOX inhibition (docking score: -4.58 kcal/mol), though MD revealed ligand instability (RMSD up to 40 Å). Zileuton (-4.88 kcal/mol) demonstrated superior binding. </w:t>
      </w:r>
    </w:p>
    <w:p w14:paraId="777A9E0F" w14:textId="0AC691B6" w:rsidR="2021B9E9" w:rsidRDefault="004D33C4" w:rsidP="007110B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Vitamin C </w:t>
      </w:r>
      <w:r w:rsidR="000950A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present in </w:t>
      </w:r>
      <w:r w:rsidR="000950A1"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Rosehip</w:t>
      </w:r>
      <w:r w:rsidR="000950A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displayed robust CP4H interactions (docking score: -9.26 kcal/mol), stabilizing</w:t>
      </w:r>
      <w:r w:rsid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Pr="007110B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collagen biosynthesis via ionic bonds (LYS89, ASP112) and hydrophobic contacts. ADMET profiles of all phytochemicals aligned with drug-likeness criteria.</w:t>
      </w:r>
    </w:p>
    <w:p w14:paraId="0B613672" w14:textId="77777777" w:rsidR="007110BA" w:rsidRPr="007110BA" w:rsidRDefault="007110BA" w:rsidP="007110B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65E846CD" w14:textId="78C0B8AF" w:rsidR="00C315D2" w:rsidRPr="007110BA" w:rsidRDefault="00B8473A" w:rsidP="007110B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D33C4" w:rsidRPr="004D33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4D33C4" w:rsidRPr="00510B4D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in-silico</w:t>
      </w:r>
      <w:r w:rsidR="004D33C4" w:rsidRPr="004D33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analyses validate</w:t>
      </w:r>
      <w:r w:rsidR="00257C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</w:t>
      </w:r>
      <w:r w:rsidR="004D33C4" w:rsidRPr="004D33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multi-target therapeutic potential of </w:t>
      </w:r>
      <w:r w:rsidR="0000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</w:t>
      </w:r>
      <w:r w:rsidR="0034688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polyherbal</w:t>
      </w:r>
      <w:r w:rsidR="0000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formulation</w:t>
      </w:r>
      <w:r w:rsidR="004D33C4" w:rsidRPr="004D33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Devil’s Claw and Rosehip extracts demonstrated strong, stable interactions with COX-2 and CP4H, respectively, while Boswellia’s 5-LOX inhibition, though less stable, synergize</w:t>
      </w:r>
      <w:r w:rsidR="00257C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</w:t>
      </w:r>
      <w:r w:rsidR="004D33C4" w:rsidRPr="004D33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with other components. T</w:t>
      </w:r>
      <w:r w:rsidR="0000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he </w:t>
      </w:r>
      <w:r w:rsidR="004D33C4" w:rsidRPr="004D33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phytochemicals</w:t>
      </w:r>
      <w:r w:rsidR="0000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this</w:t>
      </w:r>
      <w:r w:rsidR="00B808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polyherbal</w:t>
      </w:r>
      <w:r w:rsidR="000022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formulation</w:t>
      </w:r>
      <w:r w:rsidR="004D33C4" w:rsidRPr="004D33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A4C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show</w:t>
      </w:r>
      <w:r w:rsidR="004339C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ed</w:t>
      </w:r>
      <w:r w:rsidR="00EA4C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good binding with the respective protein</w:t>
      </w:r>
      <w:r w:rsidR="00B808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targets</w:t>
      </w:r>
      <w:r w:rsidR="00F177A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EA4C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177A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thus</w:t>
      </w:r>
      <w:r w:rsidR="00E976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177A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confirming</w:t>
      </w:r>
      <w:r w:rsidR="009A4A5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their use as</w:t>
      </w:r>
      <w:r w:rsidR="00EA4C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B62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herbal</w:t>
      </w:r>
      <w:r w:rsidR="004D33C4" w:rsidRPr="004D33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808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supple</w:t>
      </w:r>
      <w:r w:rsidR="00F15EF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ments</w:t>
      </w:r>
      <w:r w:rsidR="00EA4C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 </w:t>
      </w:r>
      <w:r w:rsidR="00F15EF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treating </w:t>
      </w:r>
      <w:r w:rsidR="004D33C4" w:rsidRPr="004D33C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inflammation, oxidative stress, and cartilage repair simultaneously. </w:t>
      </w:r>
    </w:p>
    <w:p w14:paraId="1AF10CAD" w14:textId="77777777" w:rsidR="00C315D2" w:rsidRPr="00C315D2" w:rsidRDefault="00C315D2" w:rsidP="007110BA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6F4FA781" w:rsidR="007110BA" w:rsidRPr="009B1CBB" w:rsidRDefault="00C315D2" w:rsidP="007110B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D6E388F" w14:textId="7A10DA99" w:rsidR="00113BB7" w:rsidRDefault="00FF30D0" w:rsidP="00FF30D0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FF30D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Shin, M. R., Kim, H. Y., Choi, H. Y., Park, K. S., Choi, H. J., &amp; Roh</w:t>
      </w:r>
      <w:r w:rsidR="00510B4D" w:rsidRPr="00FF30D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</w:t>
      </w:r>
      <w:r w:rsidRPr="00FF30D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S. (2022). Boswellia serrata Extract, 5-Loxin®, Prevents Joint Pain and Cartilage Degeneration in a Rat Model of Osteoarthritis through Inhibition of Inflammatory Responses and Restoration of Matrix Homeostasis. Evidence-based complementary and alternative medicine: </w:t>
      </w:r>
      <w:proofErr w:type="spellStart"/>
      <w:r w:rsidRPr="00FF30D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eCAM</w:t>
      </w:r>
      <w:proofErr w:type="spellEnd"/>
      <w:r w:rsidRPr="00FF30D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2022, 3067526. </w:t>
      </w:r>
      <w:hyperlink r:id="rId8" w:history="1">
        <w:r w:rsidR="00595C47" w:rsidRPr="003915C6">
          <w:rPr>
            <w:rStyle w:val="Hyperlink"/>
            <w:rFonts w:ascii="Arial" w:eastAsia="Calibri" w:hAnsi="Arial" w:cs="Calibri"/>
            <w:bCs/>
            <w:kern w:val="0"/>
            <w:sz w:val="20"/>
            <w:szCs w:val="20"/>
            <w:lang w:val="en-US"/>
            <w14:ligatures w14:val="none"/>
          </w:rPr>
          <w:t>https://doi.org/10.1155/2022/3067526</w:t>
        </w:r>
      </w:hyperlink>
      <w:r w:rsidR="00595C4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40E71661" w14:textId="325B6B00" w:rsidR="00FF30D0" w:rsidRDefault="00FF30D0" w:rsidP="00FF30D0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proofErr w:type="spellStart"/>
      <w:r w:rsidRPr="00FF30D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Anauate</w:t>
      </w:r>
      <w:proofErr w:type="spellEnd"/>
      <w:r w:rsidRPr="00FF30D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M. C., Torres, L. M., &amp; de Mello, S. B. (2010). Effect of isolated fractions of </w:t>
      </w:r>
      <w:proofErr w:type="spellStart"/>
      <w:r w:rsidRPr="00FF30D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Harpagophytum</w:t>
      </w:r>
      <w:proofErr w:type="spellEnd"/>
      <w:r w:rsidRPr="00FF30D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procumbens D.C. (devil's claw) on COX-1, COX-2 activity and nitric oxide production on whole-blood assay. Phytotherapy research: PTR, 24(9), 1365–1369. </w:t>
      </w:r>
      <w:hyperlink r:id="rId9" w:history="1">
        <w:r w:rsidRPr="003915C6">
          <w:rPr>
            <w:rStyle w:val="Hyperlink"/>
            <w:rFonts w:ascii="Arial" w:eastAsia="Calibri" w:hAnsi="Arial" w:cs="Calibri"/>
            <w:bCs/>
            <w:kern w:val="0"/>
            <w:sz w:val="20"/>
            <w:szCs w:val="20"/>
            <w:lang w:val="en-US"/>
            <w14:ligatures w14:val="none"/>
          </w:rPr>
          <w:t>https://doi.org/10.1002/ptr.3124</w:t>
        </w:r>
      </w:hyperlink>
    </w:p>
    <w:p w14:paraId="60969618" w14:textId="097A30CE" w:rsidR="00FF30D0" w:rsidRPr="00FF30D0" w:rsidRDefault="00595C47" w:rsidP="00FF30D0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595C4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Tafreshi, Y. M., Eghlima, G., Hatami, M., &amp; Vafadar, M. (2025). Exploring the potential impact of salicylic acid and </w:t>
      </w:r>
      <w:proofErr w:type="spellStart"/>
      <w:r w:rsidRPr="00595C4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jasmonic</w:t>
      </w:r>
      <w:proofErr w:type="spellEnd"/>
      <w:r w:rsidRPr="00595C4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acid in promoting seed oil content, vitamin C and antioxidant activity in rosehip (Rosa canina L.). BMC plant biology, 25(1), 249. </w:t>
      </w:r>
      <w:hyperlink r:id="rId10" w:history="1">
        <w:r w:rsidRPr="003915C6">
          <w:rPr>
            <w:rStyle w:val="Hyperlink"/>
            <w:rFonts w:ascii="Arial" w:eastAsia="Calibri" w:hAnsi="Arial" w:cs="Calibri"/>
            <w:bCs/>
            <w:kern w:val="0"/>
            <w:sz w:val="20"/>
            <w:szCs w:val="20"/>
            <w:lang w:val="en-US"/>
            <w14:ligatures w14:val="none"/>
          </w:rPr>
          <w:t>https://doi.org/10.1186/s12870-025-06251-0</w:t>
        </w:r>
      </w:hyperlink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sectPr w:rsidR="00FF30D0" w:rsidRPr="00FF3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6DD0"/>
    <w:multiLevelType w:val="hybridMultilevel"/>
    <w:tmpl w:val="18D4CF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134088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2298"/>
    <w:rsid w:val="000950A1"/>
    <w:rsid w:val="00107368"/>
    <w:rsid w:val="00113BB7"/>
    <w:rsid w:val="00163F84"/>
    <w:rsid w:val="0018760D"/>
    <w:rsid w:val="001A2D66"/>
    <w:rsid w:val="002017E6"/>
    <w:rsid w:val="00255094"/>
    <w:rsid w:val="00257C46"/>
    <w:rsid w:val="0026650C"/>
    <w:rsid w:val="00294059"/>
    <w:rsid w:val="003206E4"/>
    <w:rsid w:val="0034688B"/>
    <w:rsid w:val="003A6D5C"/>
    <w:rsid w:val="00425447"/>
    <w:rsid w:val="004339CE"/>
    <w:rsid w:val="00450F7A"/>
    <w:rsid w:val="004A4352"/>
    <w:rsid w:val="004A51B6"/>
    <w:rsid w:val="004D33C4"/>
    <w:rsid w:val="004F282C"/>
    <w:rsid w:val="00510B4D"/>
    <w:rsid w:val="00510CF8"/>
    <w:rsid w:val="00575A29"/>
    <w:rsid w:val="00595C47"/>
    <w:rsid w:val="005B623D"/>
    <w:rsid w:val="00601754"/>
    <w:rsid w:val="006A34BE"/>
    <w:rsid w:val="006F3F1C"/>
    <w:rsid w:val="007110BA"/>
    <w:rsid w:val="007141F2"/>
    <w:rsid w:val="007560E3"/>
    <w:rsid w:val="007561D8"/>
    <w:rsid w:val="00795378"/>
    <w:rsid w:val="00796206"/>
    <w:rsid w:val="007C367E"/>
    <w:rsid w:val="007E1A7E"/>
    <w:rsid w:val="007F0458"/>
    <w:rsid w:val="008071C5"/>
    <w:rsid w:val="00815304"/>
    <w:rsid w:val="008979BE"/>
    <w:rsid w:val="008B243B"/>
    <w:rsid w:val="00906D34"/>
    <w:rsid w:val="00933DC9"/>
    <w:rsid w:val="00936D4C"/>
    <w:rsid w:val="009523F9"/>
    <w:rsid w:val="009650DF"/>
    <w:rsid w:val="009A4A59"/>
    <w:rsid w:val="009B1CBB"/>
    <w:rsid w:val="009D4035"/>
    <w:rsid w:val="00A0516D"/>
    <w:rsid w:val="00A612EE"/>
    <w:rsid w:val="00A90DBD"/>
    <w:rsid w:val="00A913A3"/>
    <w:rsid w:val="00AE3974"/>
    <w:rsid w:val="00B4721D"/>
    <w:rsid w:val="00B808A7"/>
    <w:rsid w:val="00B8473A"/>
    <w:rsid w:val="00C21815"/>
    <w:rsid w:val="00C315D2"/>
    <w:rsid w:val="00C353D8"/>
    <w:rsid w:val="00CF5A91"/>
    <w:rsid w:val="00D02BB1"/>
    <w:rsid w:val="00D45A74"/>
    <w:rsid w:val="00D7426F"/>
    <w:rsid w:val="00D7428F"/>
    <w:rsid w:val="00E83515"/>
    <w:rsid w:val="00E9760C"/>
    <w:rsid w:val="00EA4CA2"/>
    <w:rsid w:val="00EC3746"/>
    <w:rsid w:val="00EF11D1"/>
    <w:rsid w:val="00F15EF3"/>
    <w:rsid w:val="00F177A0"/>
    <w:rsid w:val="00F539FB"/>
    <w:rsid w:val="00F72708"/>
    <w:rsid w:val="00F85528"/>
    <w:rsid w:val="00FC5605"/>
    <w:rsid w:val="00FF30D0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0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22/30675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i.org/10.1186/s12870-025-06251-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002/ptr.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Suvarna G. Kini [MAHE-MCOPS]</cp:lastModifiedBy>
  <cp:revision>34</cp:revision>
  <dcterms:created xsi:type="dcterms:W3CDTF">2025-03-11T02:17:00Z</dcterms:created>
  <dcterms:modified xsi:type="dcterms:W3CDTF">2025-05-30T04:09:00Z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