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48CB" w14:textId="41884D83" w:rsidR="009126C6" w:rsidRPr="00C75D00" w:rsidRDefault="00C75D00" w:rsidP="00C75D00">
      <w:pPr>
        <w:pStyle w:val="ICLGG201701Title"/>
        <w:jc w:val="center"/>
        <w:rPr>
          <w:rFonts w:ascii="Times New Roman" w:hAnsi="Times New Roman" w:cs="Times New Roman"/>
          <w:i/>
          <w:iCs/>
          <w:sz w:val="28"/>
          <w:szCs w:val="28"/>
          <w:lang w:val="en-AU"/>
        </w:rPr>
      </w:pPr>
      <w:r w:rsidRPr="00C75D00">
        <w:rPr>
          <w:rFonts w:ascii="Times New Roman" w:hAnsi="Times New Roman" w:cs="Times New Roman"/>
          <w:i/>
          <w:iCs/>
          <w:sz w:val="28"/>
          <w:szCs w:val="28"/>
          <w:lang w:val="en-AU"/>
        </w:rPr>
        <w:t>NLP2 regulation of Nitrite Reductase is required for vacuole integrity in N-fixing cells of Medicago truncatula under high nitrate</w:t>
      </w:r>
    </w:p>
    <w:p w14:paraId="4E37C695" w14:textId="77777777" w:rsidR="00C75D00" w:rsidRPr="005C7608" w:rsidRDefault="00C75D00" w:rsidP="009126C6">
      <w:pPr>
        <w:pStyle w:val="ICLGG201701Title"/>
        <w:rPr>
          <w:rFonts w:ascii="Times New Roman" w:hAnsi="Times New Roman" w:cs="Times New Roman"/>
          <w:lang w:val="en-AU"/>
        </w:rPr>
      </w:pPr>
    </w:p>
    <w:p w14:paraId="343554BA" w14:textId="4E619853" w:rsidR="00C75D00" w:rsidRPr="00711B01" w:rsidRDefault="00C75D00" w:rsidP="00C75D00">
      <w:pPr>
        <w:spacing w:line="360" w:lineRule="auto"/>
        <w:rPr>
          <w:rFonts w:ascii="Times New Roman" w:hAnsi="Times New Roman"/>
          <w:lang w:val="en-GB"/>
        </w:rPr>
      </w:pPr>
      <w:r w:rsidRPr="00C75D00">
        <w:rPr>
          <w:rFonts w:ascii="Times New Roman" w:hAnsi="Times New Roman"/>
          <w:u w:val="single"/>
          <w:lang w:val="en-GB" w:eastAsia="zh-CN"/>
        </w:rPr>
        <w:t>Suyu</w:t>
      </w:r>
      <w:r w:rsidRPr="00C75D00">
        <w:rPr>
          <w:rFonts w:ascii="Times New Roman" w:hAnsi="Times New Roman"/>
          <w:u w:val="single"/>
          <w:lang w:val="en-GB"/>
        </w:rPr>
        <w:t xml:space="preserve"> </w:t>
      </w:r>
      <w:r w:rsidRPr="00C75D00">
        <w:rPr>
          <w:rFonts w:ascii="Times New Roman" w:hAnsi="Times New Roman"/>
          <w:u w:val="single"/>
          <w:lang w:val="en-GB" w:eastAsia="zh-CN"/>
        </w:rPr>
        <w:t>Jiang</w:t>
      </w:r>
      <w:r w:rsidRPr="00711B01">
        <w:rPr>
          <w:rFonts w:ascii="Times New Roman" w:hAnsi="Times New Roman"/>
          <w:vertAlign w:val="superscript"/>
          <w:lang w:val="en-GB" w:eastAsia="zh-CN"/>
        </w:rPr>
        <w:t>1</w:t>
      </w:r>
      <w:r w:rsidRPr="00711B01">
        <w:rPr>
          <w:rFonts w:ascii="Times New Roman" w:hAnsi="Times New Roman"/>
          <w:lang w:val="en-GB"/>
        </w:rPr>
        <w:t>, Jinpeng Gao</w:t>
      </w:r>
      <w:r w:rsidRPr="00711B01">
        <w:rPr>
          <w:rFonts w:ascii="Times New Roman" w:hAnsi="Times New Roman"/>
          <w:vertAlign w:val="superscript"/>
          <w:lang w:val="en-GB"/>
        </w:rPr>
        <w:t>1</w:t>
      </w:r>
      <w:r w:rsidRPr="00711B01">
        <w:rPr>
          <w:rFonts w:ascii="Times New Roman" w:hAnsi="Times New Roman"/>
          <w:lang w:val="en-GB"/>
        </w:rPr>
        <w:t>, Yiting Ruan</w:t>
      </w:r>
      <w:r w:rsidRPr="00711B01">
        <w:rPr>
          <w:rFonts w:ascii="Times New Roman" w:hAnsi="Times New Roman"/>
          <w:vertAlign w:val="superscript"/>
          <w:lang w:val="en-GB"/>
        </w:rPr>
        <w:t>1</w:t>
      </w:r>
      <w:r w:rsidRPr="00711B01">
        <w:rPr>
          <w:rFonts w:ascii="Times New Roman" w:hAnsi="Times New Roman"/>
          <w:lang w:val="en-GB"/>
        </w:rPr>
        <w:t>, Wenjie Liang</w:t>
      </w:r>
      <w:r w:rsidRPr="00711B01">
        <w:rPr>
          <w:rFonts w:ascii="Times New Roman" w:hAnsi="Times New Roman"/>
          <w:vertAlign w:val="superscript"/>
          <w:lang w:val="en-GB"/>
        </w:rPr>
        <w:t>1</w:t>
      </w:r>
      <w:r w:rsidRPr="00711B01">
        <w:rPr>
          <w:rFonts w:ascii="Times New Roman" w:hAnsi="Times New Roman"/>
          <w:lang w:val="en-GB"/>
        </w:rPr>
        <w:t>, Yisheng Wang</w:t>
      </w:r>
      <w:r w:rsidRPr="00711B01">
        <w:rPr>
          <w:rFonts w:ascii="Times New Roman" w:hAnsi="Times New Roman"/>
          <w:vertAlign w:val="superscript"/>
          <w:lang w:val="en-GB"/>
        </w:rPr>
        <w:t>1</w:t>
      </w:r>
      <w:r w:rsidRPr="00711B01">
        <w:rPr>
          <w:rFonts w:ascii="Times New Roman" w:hAnsi="Times New Roman"/>
          <w:lang w:val="en-GB"/>
        </w:rPr>
        <w:t xml:space="preserve">, </w:t>
      </w:r>
      <w:r w:rsidR="002379EF" w:rsidRPr="002379EF">
        <w:rPr>
          <w:rFonts w:ascii="Times New Roman" w:hAnsi="Times New Roman"/>
          <w:lang w:val="en-GB" w:eastAsia="zh-CN"/>
        </w:rPr>
        <w:t>Manuel Becana</w:t>
      </w:r>
      <w:r w:rsidR="002379EF" w:rsidRPr="002379EF">
        <w:rPr>
          <w:rFonts w:ascii="Times New Roman" w:hAnsi="Times New Roman" w:hint="eastAsia"/>
          <w:vertAlign w:val="superscript"/>
          <w:lang w:val="en-GB" w:eastAsia="zh-CN"/>
        </w:rPr>
        <w:t>3</w:t>
      </w:r>
      <w:r w:rsidR="002379EF">
        <w:rPr>
          <w:rFonts w:ascii="Times New Roman" w:hAnsi="Times New Roman" w:hint="eastAsia"/>
          <w:lang w:val="en-GB" w:eastAsia="zh-CN"/>
        </w:rPr>
        <w:t xml:space="preserve">, </w:t>
      </w:r>
      <w:r>
        <w:rPr>
          <w:rFonts w:ascii="Times New Roman" w:hAnsi="Times New Roman" w:hint="eastAsia"/>
          <w:lang w:val="en-GB" w:eastAsia="zh-CN"/>
        </w:rPr>
        <w:t>Ping</w:t>
      </w:r>
      <w:r>
        <w:rPr>
          <w:rFonts w:ascii="Times New Roman" w:hAnsi="Times New Roman"/>
          <w:lang w:val="en-GB"/>
        </w:rPr>
        <w:t xml:space="preserve"> </w:t>
      </w:r>
      <w:r>
        <w:rPr>
          <w:rFonts w:ascii="Times New Roman" w:hAnsi="Times New Roman" w:hint="eastAsia"/>
          <w:lang w:val="en-GB" w:eastAsia="zh-CN"/>
        </w:rPr>
        <w:t>Xu</w:t>
      </w:r>
      <w:r w:rsidR="002379EF">
        <w:rPr>
          <w:rFonts w:ascii="Times New Roman" w:hAnsi="Times New Roman" w:hint="eastAsia"/>
          <w:vertAlign w:val="superscript"/>
          <w:lang w:val="en-GB" w:eastAsia="zh-CN"/>
        </w:rPr>
        <w:t>4</w:t>
      </w:r>
      <w:r>
        <w:rPr>
          <w:rFonts w:ascii="Times New Roman" w:hAnsi="Times New Roman" w:hint="eastAsia"/>
          <w:lang w:val="en-GB" w:eastAsia="zh-CN"/>
        </w:rPr>
        <w:t>,</w:t>
      </w:r>
      <w:r>
        <w:rPr>
          <w:rFonts w:ascii="Times New Roman" w:hAnsi="Times New Roman"/>
          <w:lang w:val="en-GB" w:eastAsia="zh-CN"/>
        </w:rPr>
        <w:t xml:space="preserve"> </w:t>
      </w:r>
      <w:r w:rsidRPr="00711B01">
        <w:rPr>
          <w:rFonts w:ascii="Times New Roman" w:hAnsi="Times New Roman"/>
          <w:lang w:val="en-GB"/>
        </w:rPr>
        <w:t>Jeremy Murray</w:t>
      </w:r>
      <w:r w:rsidRPr="00711B01">
        <w:rPr>
          <w:rFonts w:ascii="Times New Roman" w:hAnsi="Times New Roman"/>
          <w:vertAlign w:val="superscript"/>
          <w:lang w:val="en-GB"/>
        </w:rPr>
        <w:t>*12</w:t>
      </w:r>
    </w:p>
    <w:p w14:paraId="040BC977" w14:textId="77777777" w:rsidR="00C75D00" w:rsidRDefault="00C75D00" w:rsidP="00C75D00">
      <w:pPr>
        <w:spacing w:line="360" w:lineRule="auto"/>
        <w:rPr>
          <w:rFonts w:ascii="Times New Roman" w:eastAsia="SimSun" w:hAnsi="Times New Roman"/>
          <w:i/>
          <w:iCs/>
        </w:rPr>
      </w:pPr>
    </w:p>
    <w:p w14:paraId="0B3E44F9" w14:textId="2E761B8D" w:rsidR="00C75D00" w:rsidRPr="00711B01" w:rsidRDefault="00C75D00" w:rsidP="00C75D00">
      <w:pPr>
        <w:spacing w:line="360" w:lineRule="auto"/>
        <w:rPr>
          <w:rFonts w:ascii="Times New Roman" w:eastAsia="SimSun" w:hAnsi="Times New Roman"/>
          <w:i/>
          <w:iCs/>
        </w:rPr>
      </w:pPr>
      <w:r w:rsidRPr="00711B01">
        <w:rPr>
          <w:rFonts w:ascii="Times New Roman" w:eastAsia="SimSun" w:hAnsi="Times New Roman"/>
          <w:i/>
          <w:iCs/>
        </w:rPr>
        <w:t xml:space="preserve">*Correspondence to: </w:t>
      </w:r>
      <w:hyperlink r:id="rId7" w:history="1">
        <w:r w:rsidRPr="00711B01">
          <w:rPr>
            <w:rStyle w:val="Hyperlink"/>
            <w:rFonts w:ascii="Times New Roman" w:eastAsia="SimSun" w:hAnsi="Times New Roman"/>
            <w:i/>
            <w:iCs/>
          </w:rPr>
          <w:t>jeremy.murray@jic.ac.uk</w:t>
        </w:r>
      </w:hyperlink>
      <w:r w:rsidRPr="00711B01">
        <w:rPr>
          <w:rFonts w:ascii="Times New Roman" w:eastAsia="SimSun" w:hAnsi="Times New Roman"/>
          <w:i/>
          <w:iCs/>
        </w:rPr>
        <w:t>.</w:t>
      </w:r>
    </w:p>
    <w:p w14:paraId="52ECECED" w14:textId="77777777" w:rsidR="009126C6" w:rsidRPr="00C75D00" w:rsidRDefault="009126C6" w:rsidP="00A72105">
      <w:pPr>
        <w:pStyle w:val="ICLGG201799Emptyrow"/>
        <w:ind w:firstLine="0"/>
        <w:rPr>
          <w:rFonts w:ascii="Times New Roman" w:hAnsi="Times New Roman" w:cs="Times New Roman"/>
        </w:rPr>
      </w:pPr>
    </w:p>
    <w:p w14:paraId="184809B0" w14:textId="16CC511A" w:rsidR="00C75D00" w:rsidRPr="00711B01" w:rsidRDefault="00C75D00" w:rsidP="00C75D00">
      <w:pPr>
        <w:spacing w:line="360" w:lineRule="auto"/>
        <w:rPr>
          <w:rFonts w:ascii="Times New Roman" w:eastAsia="SimSun" w:hAnsi="Times New Roman"/>
          <w:i/>
          <w:iCs/>
        </w:rPr>
      </w:pPr>
      <w:r w:rsidRPr="00711B01">
        <w:rPr>
          <w:rFonts w:ascii="Times New Roman" w:eastAsia="SimSun" w:hAnsi="Times New Roman"/>
          <w:i/>
          <w:iCs/>
        </w:rPr>
        <w:t>1</w:t>
      </w:r>
      <w:r>
        <w:rPr>
          <w:rFonts w:ascii="Times New Roman" w:eastAsia="SimSun" w:hAnsi="Times New Roman" w:hint="eastAsia"/>
          <w:i/>
          <w:iCs/>
          <w:lang w:eastAsia="zh-CN"/>
        </w:rPr>
        <w:t xml:space="preserve">  </w:t>
      </w:r>
      <w:r w:rsidRPr="00711B01">
        <w:rPr>
          <w:rFonts w:ascii="Times New Roman" w:eastAsia="SimSun" w:hAnsi="Times New Roman"/>
          <w:i/>
          <w:iCs/>
        </w:rPr>
        <w:t>CAS-JIC Centre of Excellence for Plant and Microbial Science (CEPAMS), Centre for Excellence in Molecular Plant Sciences (CEMPS), Shanghai Institute of Plant Physiology and Ecology (SIPPE), Chinese Academy of Sciences, China.</w:t>
      </w:r>
    </w:p>
    <w:p w14:paraId="1EA8744A" w14:textId="16C8E056" w:rsidR="00C75D00" w:rsidRDefault="00C75D00" w:rsidP="00C75D00">
      <w:pPr>
        <w:spacing w:line="360" w:lineRule="auto"/>
        <w:rPr>
          <w:rFonts w:ascii="Times New Roman" w:eastAsia="SimSun" w:hAnsi="Times New Roman"/>
          <w:i/>
          <w:iCs/>
        </w:rPr>
      </w:pPr>
      <w:r w:rsidRPr="00711B01">
        <w:rPr>
          <w:rFonts w:ascii="Times New Roman" w:eastAsia="SimSun" w:hAnsi="Times New Roman"/>
          <w:i/>
          <w:iCs/>
        </w:rPr>
        <w:t>2</w:t>
      </w:r>
      <w:r>
        <w:rPr>
          <w:rFonts w:ascii="Times New Roman" w:eastAsia="SimSun" w:hAnsi="Times New Roman" w:hint="eastAsia"/>
          <w:i/>
          <w:iCs/>
          <w:lang w:eastAsia="zh-CN"/>
        </w:rPr>
        <w:t xml:space="preserve">  </w:t>
      </w:r>
      <w:r w:rsidRPr="00711B01">
        <w:rPr>
          <w:rFonts w:ascii="Times New Roman" w:eastAsia="SimSun" w:hAnsi="Times New Roman"/>
          <w:i/>
          <w:iCs/>
        </w:rPr>
        <w:t>John Innes Centre, Norwich Research Park, Norwich, NR4 7UH, UK</w:t>
      </w:r>
    </w:p>
    <w:p w14:paraId="157A475D" w14:textId="0180AF18" w:rsidR="002379EF" w:rsidRDefault="002379EF" w:rsidP="00C75D00">
      <w:pPr>
        <w:spacing w:line="360" w:lineRule="auto"/>
        <w:rPr>
          <w:rFonts w:ascii="Times New Roman" w:eastAsia="SimSun" w:hAnsi="Times New Roman" w:hint="eastAsia"/>
          <w:i/>
          <w:iCs/>
          <w:lang w:eastAsia="zh-CN"/>
        </w:rPr>
      </w:pPr>
      <w:r>
        <w:rPr>
          <w:rFonts w:ascii="Times New Roman" w:eastAsia="SimSun" w:hAnsi="Times New Roman" w:hint="eastAsia"/>
          <w:i/>
          <w:iCs/>
          <w:lang w:eastAsia="zh-CN"/>
        </w:rPr>
        <w:t xml:space="preserve">3 </w:t>
      </w:r>
      <w:r w:rsidRPr="002379EF">
        <w:rPr>
          <w:rFonts w:ascii="Times New Roman" w:eastAsia="SimSun" w:hAnsi="Times New Roman"/>
          <w:i/>
          <w:iCs/>
          <w:lang w:eastAsia="zh-CN"/>
        </w:rPr>
        <w:t>Departamento de Biología Vegetal, Estación Experimental de Aula Dei, Consejo Superior de Investigaciones Científicas, Avenida Montañana 1005, Zaragoza, 50059, Spain.</w:t>
      </w:r>
    </w:p>
    <w:p w14:paraId="3F81FC12" w14:textId="6572D56A" w:rsidR="00C75D00" w:rsidRPr="00AE25CB" w:rsidRDefault="002379EF" w:rsidP="00C75D00">
      <w:pPr>
        <w:spacing w:line="360" w:lineRule="auto"/>
        <w:rPr>
          <w:rFonts w:ascii="Times New Roman" w:eastAsia="SimSun" w:hAnsi="Times New Roman"/>
          <w:i/>
          <w:iCs/>
          <w:lang w:eastAsia="zh-CN"/>
        </w:rPr>
      </w:pPr>
      <w:r>
        <w:rPr>
          <w:rFonts w:ascii="Times New Roman" w:eastAsia="SimSun" w:hAnsi="Times New Roman" w:hint="eastAsia"/>
          <w:i/>
          <w:iCs/>
          <w:lang w:eastAsia="zh-CN"/>
        </w:rPr>
        <w:t xml:space="preserve">4 </w:t>
      </w:r>
      <w:r w:rsidR="00C75D00" w:rsidRPr="00AE25CB">
        <w:rPr>
          <w:rFonts w:ascii="Times New Roman" w:hAnsi="Times New Roman"/>
          <w:i/>
          <w:iCs/>
          <w:color w:val="000000"/>
        </w:rPr>
        <w:t>Shanghai Engineering Research Center of Plant Germplasm Resource, College of Life Sciences, Shanghai Normal University, Shanghai 200234, China</w:t>
      </w:r>
    </w:p>
    <w:p w14:paraId="740171DE" w14:textId="77777777" w:rsidR="005C7608" w:rsidRPr="00D050A1" w:rsidRDefault="005C7608" w:rsidP="005C7608">
      <w:pPr>
        <w:pStyle w:val="ICLGG201704Body"/>
        <w:ind w:firstLine="0"/>
        <w:rPr>
          <w:rFonts w:ascii="Times New Roman" w:hAnsi="Times New Roman" w:cs="Times New Roman"/>
        </w:rPr>
      </w:pPr>
    </w:p>
    <w:p w14:paraId="6B633A63" w14:textId="77777777" w:rsidR="00D050A1" w:rsidRPr="00D050A1" w:rsidRDefault="00D050A1" w:rsidP="00D050A1">
      <w:pPr>
        <w:spacing w:line="360" w:lineRule="auto"/>
        <w:rPr>
          <w:rFonts w:ascii="Times New Roman" w:hAnsi="Times New Roman" w:cs="Times New Roman"/>
        </w:rPr>
      </w:pPr>
      <w:r w:rsidRPr="00D050A1">
        <w:rPr>
          <w:rFonts w:ascii="Times New Roman" w:hAnsi="Times New Roman" w:cs="Times New Roman"/>
          <w:i/>
          <w:iCs/>
          <w:lang w:val="en-GB"/>
        </w:rPr>
        <w:t>NIN-Like Protein 2</w:t>
      </w:r>
      <w:r w:rsidRPr="00D050A1">
        <w:rPr>
          <w:rFonts w:ascii="Times New Roman" w:hAnsi="Times New Roman" w:cs="Times New Roman"/>
          <w:lang w:val="en-GB"/>
        </w:rPr>
        <w:t xml:space="preserve"> (</w:t>
      </w:r>
      <w:r w:rsidRPr="00D050A1">
        <w:rPr>
          <w:rFonts w:ascii="Times New Roman" w:hAnsi="Times New Roman" w:cs="Times New Roman"/>
          <w:i/>
          <w:iCs/>
          <w:lang w:val="en-GB"/>
        </w:rPr>
        <w:t>NLP2</w:t>
      </w:r>
      <w:r w:rsidRPr="00D050A1">
        <w:rPr>
          <w:rFonts w:ascii="Times New Roman" w:hAnsi="Times New Roman" w:cs="Times New Roman"/>
          <w:lang w:val="en-GB"/>
        </w:rPr>
        <w:t xml:space="preserve">) </w:t>
      </w:r>
      <w:r w:rsidRPr="00D050A1">
        <w:rPr>
          <w:rFonts w:ascii="Times New Roman" w:hAnsi="Times New Roman" w:cs="Times New Roman"/>
          <w:lang w:val="en-GB" w:eastAsia="zh-CN"/>
        </w:rPr>
        <w:t>is</w:t>
      </w:r>
      <w:r w:rsidRPr="00D050A1">
        <w:rPr>
          <w:rFonts w:ascii="Times New Roman" w:hAnsi="Times New Roman" w:cs="Times New Roman"/>
          <w:lang w:val="en-GB"/>
        </w:rPr>
        <w:t xml:space="preserve"> highly expressed </w:t>
      </w:r>
      <w:r w:rsidRPr="00D050A1">
        <w:rPr>
          <w:rFonts w:ascii="Times New Roman" w:hAnsi="Times New Roman" w:cs="Times New Roman"/>
          <w:lang w:val="en-GB" w:eastAsia="zh-CN"/>
        </w:rPr>
        <w:t>in</w:t>
      </w:r>
      <w:r w:rsidRPr="00D050A1">
        <w:rPr>
          <w:rFonts w:ascii="Times New Roman" w:hAnsi="Times New Roman" w:cs="Times New Roman"/>
          <w:lang w:val="en-GB"/>
        </w:rPr>
        <w:t xml:space="preserve"> the N-fixation zone of mature nodules of </w:t>
      </w:r>
      <w:r w:rsidRPr="00D050A1">
        <w:rPr>
          <w:rFonts w:ascii="Times New Roman" w:hAnsi="Times New Roman" w:cs="Times New Roman"/>
          <w:i/>
          <w:iCs/>
          <w:lang w:val="en-GB"/>
        </w:rPr>
        <w:t>Medicago truncatula</w:t>
      </w:r>
      <w:r w:rsidRPr="00D050A1">
        <w:rPr>
          <w:rFonts w:ascii="Times New Roman" w:hAnsi="Times New Roman" w:cs="Times New Roman"/>
          <w:lang w:val="en-GB"/>
        </w:rPr>
        <w:t xml:space="preserve"> where it</w:t>
      </w:r>
      <w:r w:rsidRPr="00D050A1">
        <w:rPr>
          <w:rFonts w:ascii="Times New Roman" w:hAnsi="Times New Roman" w:cs="Times New Roman"/>
        </w:rPr>
        <w:t xml:space="preserve"> </w:t>
      </w:r>
      <w:r w:rsidRPr="00D050A1">
        <w:rPr>
          <w:rFonts w:ascii="Times New Roman" w:hAnsi="Times New Roman" w:cs="Times New Roman"/>
          <w:lang w:val="en-GB"/>
        </w:rPr>
        <w:t xml:space="preserve">directly activates the expression of </w:t>
      </w:r>
      <w:r w:rsidRPr="00D050A1">
        <w:rPr>
          <w:rFonts w:ascii="Times New Roman" w:hAnsi="Times New Roman" w:cs="Times New Roman"/>
          <w:i/>
          <w:iCs/>
          <w:lang w:val="en-GB"/>
        </w:rPr>
        <w:t>leghemoglobins</w:t>
      </w:r>
      <w:r w:rsidRPr="00D050A1">
        <w:rPr>
          <w:rFonts w:ascii="Times New Roman" w:hAnsi="Times New Roman" w:cs="Times New Roman"/>
          <w:lang w:val="en-GB"/>
        </w:rPr>
        <w:t xml:space="preserve"> through “double</w:t>
      </w:r>
      <w:r w:rsidRPr="00D050A1">
        <w:rPr>
          <w:rFonts w:ascii="Times New Roman" w:hAnsi="Times New Roman" w:cs="Times New Roman"/>
          <w:lang w:val="en-GB" w:eastAsia="zh-CN"/>
        </w:rPr>
        <w:t xml:space="preserve">” </w:t>
      </w:r>
      <w:r w:rsidRPr="00D050A1">
        <w:rPr>
          <w:rFonts w:ascii="Times New Roman" w:hAnsi="Times New Roman" w:cs="Times New Roman"/>
          <w:lang w:val="en-GB"/>
        </w:rPr>
        <w:t xml:space="preserve">Nitrate Responsive Elements. Unlike NLP1/4, loss of NLP2 does not affect nitrate suppression of nodulation. However, we found that nodules that develop on </w:t>
      </w:r>
      <w:r w:rsidRPr="00D050A1">
        <w:rPr>
          <w:rFonts w:ascii="Times New Roman" w:hAnsi="Times New Roman" w:cs="Times New Roman"/>
          <w:i/>
          <w:iCs/>
          <w:lang w:val="en-GB"/>
        </w:rPr>
        <w:t>nlp2-1</w:t>
      </w:r>
      <w:r w:rsidRPr="00D050A1">
        <w:rPr>
          <w:rFonts w:ascii="Times New Roman" w:hAnsi="Times New Roman" w:cs="Times New Roman"/>
          <w:lang w:val="en-GB"/>
        </w:rPr>
        <w:t xml:space="preserve"> under high nitrate exhibit abnormal vacuole morphology, which is not seen at lower nitrate concentrations. This phenotype is associated with starch accumulation, and higher expression of starch synthesis genes which specifically occurred at 5.0 mM KNO</w:t>
      </w:r>
      <w:r w:rsidRPr="00D050A1">
        <w:rPr>
          <w:rFonts w:ascii="Times New Roman" w:hAnsi="Times New Roman" w:cs="Times New Roman"/>
          <w:vertAlign w:val="subscript"/>
          <w:lang w:val="en-GB"/>
        </w:rPr>
        <w:t>3</w:t>
      </w:r>
      <w:r w:rsidRPr="00D050A1">
        <w:rPr>
          <w:rFonts w:ascii="Times New Roman" w:hAnsi="Times New Roman" w:cs="Times New Roman"/>
          <w:lang w:val="en-GB"/>
        </w:rPr>
        <w:t xml:space="preserve">. Further investigation revealed decreased Nitrite Reductase (NiR) activity and increased levels of nitrite and nitric oxide (NO). Transcript profiling revealed that </w:t>
      </w:r>
      <w:r w:rsidRPr="00D050A1">
        <w:rPr>
          <w:rFonts w:ascii="Times New Roman" w:hAnsi="Times New Roman" w:cs="Times New Roman"/>
          <w:i/>
          <w:iCs/>
          <w:lang w:val="en-GB"/>
        </w:rPr>
        <w:t>Nitrite Reductase</w:t>
      </w:r>
      <w:r w:rsidRPr="00D050A1">
        <w:rPr>
          <w:rFonts w:ascii="Times New Roman" w:hAnsi="Times New Roman" w:cs="Times New Roman"/>
          <w:lang w:val="en-GB"/>
        </w:rPr>
        <w:t xml:space="preserve"> expression was strongly reduced in </w:t>
      </w:r>
      <w:r w:rsidRPr="00D050A1">
        <w:rPr>
          <w:rFonts w:ascii="Times New Roman" w:hAnsi="Times New Roman" w:cs="Times New Roman"/>
          <w:i/>
          <w:iCs/>
          <w:lang w:val="en-GB"/>
        </w:rPr>
        <w:t>nlp2</w:t>
      </w:r>
      <w:r w:rsidRPr="00D050A1">
        <w:rPr>
          <w:rFonts w:ascii="Times New Roman" w:hAnsi="Times New Roman" w:cs="Times New Roman"/>
          <w:lang w:val="en-GB"/>
        </w:rPr>
        <w:t xml:space="preserve"> nodules at all nitrate concentrations, reduced expression of genes important for hypoxia adaptation, such as </w:t>
      </w:r>
      <w:r w:rsidRPr="00D050A1">
        <w:rPr>
          <w:rFonts w:ascii="Times New Roman" w:hAnsi="Times New Roman" w:cs="Times New Roman"/>
          <w:i/>
          <w:iCs/>
          <w:lang w:val="en-GB"/>
        </w:rPr>
        <w:t>Alcohol Dehydrogenase</w:t>
      </w:r>
      <w:r w:rsidRPr="00D050A1">
        <w:rPr>
          <w:rFonts w:ascii="Times New Roman" w:hAnsi="Times New Roman" w:cs="Times New Roman"/>
          <w:lang w:val="en-GB"/>
        </w:rPr>
        <w:t xml:space="preserve">, </w:t>
      </w:r>
      <w:r w:rsidRPr="00D050A1">
        <w:rPr>
          <w:rFonts w:ascii="Times New Roman" w:hAnsi="Times New Roman" w:cs="Times New Roman"/>
          <w:i/>
          <w:iCs/>
          <w:lang w:val="en-GB"/>
        </w:rPr>
        <w:t>Pyruvate Decarboxylase (PDC),</w:t>
      </w:r>
      <w:r w:rsidRPr="00D050A1">
        <w:rPr>
          <w:rFonts w:ascii="Times New Roman" w:hAnsi="Times New Roman" w:cs="Times New Roman"/>
          <w:lang w:val="en-GB"/>
        </w:rPr>
        <w:t xml:space="preserve"> and increased expression of </w:t>
      </w:r>
      <w:r w:rsidRPr="00D050A1">
        <w:rPr>
          <w:rFonts w:ascii="Times New Roman" w:hAnsi="Times New Roman" w:cs="Times New Roman"/>
          <w:i/>
          <w:iCs/>
          <w:lang w:val="en-GB"/>
        </w:rPr>
        <w:t>S-Nitrosoglutathione Reductase</w:t>
      </w:r>
      <w:r w:rsidRPr="00D050A1">
        <w:rPr>
          <w:rFonts w:ascii="Times New Roman" w:hAnsi="Times New Roman" w:cs="Times New Roman"/>
          <w:lang w:val="en-GB"/>
        </w:rPr>
        <w:t xml:space="preserve"> (</w:t>
      </w:r>
      <w:r w:rsidRPr="00D050A1">
        <w:rPr>
          <w:rFonts w:ascii="Times New Roman" w:hAnsi="Times New Roman" w:cs="Times New Roman"/>
          <w:i/>
          <w:iCs/>
          <w:lang w:val="en-GB"/>
        </w:rPr>
        <w:t>GSNOR</w:t>
      </w:r>
      <w:r w:rsidRPr="00D050A1">
        <w:rPr>
          <w:rFonts w:ascii="Times New Roman" w:hAnsi="Times New Roman" w:cs="Times New Roman"/>
          <w:lang w:val="en-GB"/>
        </w:rPr>
        <w:t>) which is involved in NO metabolism. This was associated with lower levels of ATP and a higher NAD</w:t>
      </w:r>
      <w:r w:rsidRPr="00D050A1">
        <w:rPr>
          <w:rFonts w:ascii="Times New Roman" w:hAnsi="Times New Roman" w:cs="Times New Roman"/>
          <w:vertAlign w:val="superscript"/>
          <w:lang w:val="en-GB"/>
        </w:rPr>
        <w:t>+</w:t>
      </w:r>
      <w:r w:rsidRPr="00D050A1">
        <w:rPr>
          <w:rFonts w:ascii="Times New Roman" w:hAnsi="Times New Roman" w:cs="Times New Roman"/>
          <w:lang w:val="en-GB"/>
        </w:rPr>
        <w:t xml:space="preserve">/NADH ratio, suggesting that energy metabolism is specifically compromised in </w:t>
      </w:r>
      <w:r w:rsidRPr="00D050A1">
        <w:rPr>
          <w:rFonts w:ascii="Times New Roman" w:hAnsi="Times New Roman" w:cs="Times New Roman"/>
          <w:i/>
          <w:iCs/>
          <w:lang w:val="en-GB"/>
        </w:rPr>
        <w:t>nlp2</w:t>
      </w:r>
      <w:r w:rsidRPr="00D050A1">
        <w:rPr>
          <w:rFonts w:ascii="Times New Roman" w:hAnsi="Times New Roman" w:cs="Times New Roman"/>
          <w:lang w:val="en-GB"/>
        </w:rPr>
        <w:t xml:space="preserve"> nodules at high nitrate. Transgenic expression of </w:t>
      </w:r>
      <w:r w:rsidRPr="00D050A1">
        <w:rPr>
          <w:rFonts w:ascii="Times New Roman" w:hAnsi="Times New Roman" w:cs="Times New Roman"/>
          <w:i/>
          <w:iCs/>
        </w:rPr>
        <w:t xml:space="preserve">NiR </w:t>
      </w:r>
      <w:r w:rsidRPr="00D050A1">
        <w:rPr>
          <w:rFonts w:ascii="Times New Roman" w:hAnsi="Times New Roman" w:cs="Times New Roman"/>
        </w:rPr>
        <w:t xml:space="preserve">in nodules of </w:t>
      </w:r>
      <w:r w:rsidRPr="00D050A1">
        <w:rPr>
          <w:rFonts w:ascii="Times New Roman" w:hAnsi="Times New Roman" w:cs="Times New Roman"/>
          <w:i/>
          <w:iCs/>
        </w:rPr>
        <w:t>nlp2-1</w:t>
      </w:r>
      <w:r w:rsidRPr="00D050A1">
        <w:rPr>
          <w:rFonts w:ascii="Times New Roman" w:hAnsi="Times New Roman" w:cs="Times New Roman"/>
        </w:rPr>
        <w:t xml:space="preserve"> mutants grown at 5.0 mM KNO</w:t>
      </w:r>
      <w:r w:rsidRPr="00D050A1">
        <w:rPr>
          <w:rFonts w:ascii="Times New Roman" w:hAnsi="Times New Roman" w:cs="Times New Roman"/>
          <w:vertAlign w:val="subscript"/>
        </w:rPr>
        <w:t>3</w:t>
      </w:r>
      <w:r w:rsidRPr="00D050A1">
        <w:rPr>
          <w:rFonts w:ascii="Times New Roman" w:hAnsi="Times New Roman" w:cs="Times New Roman"/>
        </w:rPr>
        <w:t xml:space="preserve"> rescued the vacuole phenotype and restored the expression of </w:t>
      </w:r>
      <w:r w:rsidRPr="00D050A1">
        <w:rPr>
          <w:rFonts w:ascii="Times New Roman" w:hAnsi="Times New Roman" w:cs="Times New Roman"/>
          <w:i/>
          <w:iCs/>
        </w:rPr>
        <w:t>GSNOR</w:t>
      </w:r>
      <w:r w:rsidRPr="00D050A1">
        <w:rPr>
          <w:rFonts w:ascii="Times New Roman" w:hAnsi="Times New Roman" w:cs="Times New Roman"/>
        </w:rPr>
        <w:t xml:space="preserve"> and </w:t>
      </w:r>
      <w:r w:rsidRPr="00D050A1">
        <w:rPr>
          <w:rFonts w:ascii="Times New Roman" w:hAnsi="Times New Roman" w:cs="Times New Roman"/>
          <w:i/>
          <w:iCs/>
        </w:rPr>
        <w:t xml:space="preserve">PDC </w:t>
      </w:r>
      <w:r w:rsidRPr="00D050A1">
        <w:rPr>
          <w:rFonts w:ascii="Times New Roman" w:hAnsi="Times New Roman" w:cs="Times New Roman"/>
        </w:rPr>
        <w:t xml:space="preserve">to normal levels. Overall, our data implicates NLP2 plays in energy maintenance under high nitrate through its regulation of </w:t>
      </w:r>
      <w:r w:rsidRPr="00D050A1">
        <w:rPr>
          <w:rFonts w:ascii="Times New Roman" w:hAnsi="Times New Roman" w:cs="Times New Roman"/>
          <w:i/>
          <w:iCs/>
        </w:rPr>
        <w:t>NiR</w:t>
      </w:r>
      <w:r w:rsidRPr="00D050A1">
        <w:rPr>
          <w:rFonts w:ascii="Times New Roman" w:hAnsi="Times New Roman" w:cs="Times New Roman"/>
        </w:rPr>
        <w:t>.</w:t>
      </w:r>
    </w:p>
    <w:p w14:paraId="58C3E0DC" w14:textId="77777777" w:rsidR="00D050A1" w:rsidRPr="00D050A1" w:rsidRDefault="00D050A1" w:rsidP="00D050A1">
      <w:pPr>
        <w:spacing w:line="360" w:lineRule="auto"/>
        <w:rPr>
          <w:rFonts w:ascii="Times New Roman" w:hAnsi="Times New Roman" w:cs="Times New Roman"/>
          <w:lang w:eastAsia="zh-CN"/>
        </w:rPr>
      </w:pPr>
    </w:p>
    <w:p w14:paraId="6D9647F0" w14:textId="77777777" w:rsidR="00D050A1" w:rsidRPr="00D050A1" w:rsidRDefault="00D050A1" w:rsidP="00D050A1">
      <w:pPr>
        <w:spacing w:line="360" w:lineRule="auto"/>
        <w:rPr>
          <w:rFonts w:ascii="Times New Roman" w:hAnsi="Times New Roman" w:cs="Times New Roman"/>
          <w:lang w:val="en-GB"/>
        </w:rPr>
      </w:pPr>
      <w:r w:rsidRPr="00D050A1">
        <w:rPr>
          <w:rFonts w:ascii="Times New Roman" w:hAnsi="Times New Roman" w:cs="Times New Roman"/>
          <w:b/>
          <w:bCs/>
          <w:lang w:val="en-GB" w:eastAsia="zh-CN"/>
        </w:rPr>
        <w:t>Key words:</w:t>
      </w:r>
      <w:r w:rsidRPr="00D050A1">
        <w:rPr>
          <w:rFonts w:ascii="Times New Roman" w:hAnsi="Times New Roman" w:cs="Times New Roman"/>
          <w:lang w:val="en-GB" w:eastAsia="zh-CN"/>
        </w:rPr>
        <w:t xml:space="preserve"> NIN-Like Protein, Hypoxia, </w:t>
      </w:r>
      <w:r w:rsidRPr="00D050A1">
        <w:rPr>
          <w:rFonts w:ascii="Times New Roman" w:hAnsi="Times New Roman" w:cs="Times New Roman"/>
          <w:lang w:val="en-GB"/>
        </w:rPr>
        <w:t>Nitrite Reductase, Nitric Oxide</w:t>
      </w:r>
    </w:p>
    <w:p w14:paraId="6686E3B6" w14:textId="77777777" w:rsidR="009126C6" w:rsidRPr="00D050A1" w:rsidRDefault="009126C6" w:rsidP="009126C6">
      <w:pPr>
        <w:pStyle w:val="ICLGG201799Emptyrow"/>
        <w:rPr>
          <w:rFonts w:ascii="Times New Roman" w:hAnsi="Times New Roman" w:cs="Times New Roman"/>
          <w:lang w:val="en-GB"/>
        </w:rPr>
      </w:pP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9538D"/>
    <w:rsid w:val="000B21D5"/>
    <w:rsid w:val="0011541E"/>
    <w:rsid w:val="00156AA8"/>
    <w:rsid w:val="001956AD"/>
    <w:rsid w:val="001D72AC"/>
    <w:rsid w:val="00234A08"/>
    <w:rsid w:val="002379EF"/>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72105"/>
    <w:rsid w:val="00BE0837"/>
    <w:rsid w:val="00BE396B"/>
    <w:rsid w:val="00C75D00"/>
    <w:rsid w:val="00D050A1"/>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character" w:styleId="Hyperlink">
    <w:name w:val="Hyperlink"/>
    <w:rsid w:val="00C75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eremy.murray@jic.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383</Words>
  <Characters>2185</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office</cp:lastModifiedBy>
  <cp:revision>18</cp:revision>
  <dcterms:created xsi:type="dcterms:W3CDTF">2024-02-09T03:15:00Z</dcterms:created>
  <dcterms:modified xsi:type="dcterms:W3CDTF">2024-05-17T07:28:00Z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