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Comparing JiTT, Team-Based Learning, and Traditional Lectures on Pharmacology Students’ Performance</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Kenneth Bitrus David</w:t>
      </w:r>
      <w:r w:rsidDel="00000000" w:rsidR="00000000" w:rsidRPr="00000000">
        <w:rPr>
          <w:rFonts w:ascii="Calibri" w:cs="Calibri" w:eastAsia="Calibri" w:hAnsi="Calibri"/>
          <w:sz w:val="20"/>
          <w:szCs w:val="20"/>
          <w:vertAlign w:val="superscript"/>
          <w:rtl w:val="0"/>
        </w:rPr>
        <w:t xml:space="preserve">1,2</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Elijah Sunom Umaru</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Dep</w:t>
      </w:r>
      <w:r w:rsidDel="00000000" w:rsidR="00000000" w:rsidRPr="00000000">
        <w:rPr>
          <w:rFonts w:ascii="Calibri" w:cs="Calibri" w:eastAsia="Calibri" w:hAnsi="Calibri"/>
          <w:sz w:val="20"/>
          <w:szCs w:val="20"/>
          <w:rtl w:val="0"/>
        </w:rPr>
        <w:t xml:space="preserve">t</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of Pharmacology</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Kaduna State University</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Kaduna</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Kaduna</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Nigeria; Dept of Pharmacology, Ahmadu Bello University</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Zaria, Kaduna, Nigeria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Introduction.</w:t>
      </w:r>
      <w:r w:rsidDel="00000000" w:rsidR="00000000" w:rsidRPr="00000000">
        <w:rPr>
          <w:rFonts w:ascii="Calibri" w:cs="Calibri" w:eastAsia="Calibri" w:hAnsi="Calibri"/>
          <w:sz w:val="20"/>
          <w:szCs w:val="20"/>
          <w:rtl w:val="0"/>
        </w:rPr>
        <w:t xml:space="preserve"> Pharmacology is conceptually challenging for many students due to its high cognitive load and abstract mechanisms. Traditional lectures often promote passive learning &amp; limited application. Active learning strategies, including Just-in-Time Teaching (JiTT) and Team-Based Learning (TBL), have been reported to enhance critical thinking, and long-term retention in medical and health sciences education (Parsad &amp; Divakaran, 2025)</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Aims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This study explored the comparative effectiveness of these strategies against traditional lectures among undergraduate pharmacology students in a low-resource setting (Kaduna State University, Nigeria).</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Methods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Ninety-six 4th-year pharmacology students completed a 15-week pharmacology course using JiTT and TBL (Part I) and conventional lectures (Part II). Learning was assessed via two summative tests, feedback questionnaires, and participation logs. A subset (n=40) completed a delayed post-test to assess knowledge retention. Quantitative data were analyzed with t-tests and chi-square tests.</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Results.</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Mean score for active learning (16.2 ± 2.8) was significantly higher than for lectures (12.1 ± 1.7; t(94) = 14.7, p &lt; 0.001, Cohen’s d = 1.1). Pass rates were 96% (active) vs. 78% (lecture), while high achievement (≥15/20) was 72% vs. 22%. On delayed post-test, active learning students retained 86% of concepts vs. 61% for lecture-taught content (p &lt; 0.001). Attendance during active learning averaged 92% vs. 74% during lectures (χ² = 12.4, p &lt; 0.01). Participation scores were also significantly higher (p &lt; 0.001). 92% of students reported improved conceptual understanding, 87% higher motivation, 76% greater confidence applying knowledge clinically, &amp; 81% perceived stronger collaboration skills. </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b w:val="1"/>
          <w:sz w:val="20"/>
          <w:szCs w:val="20"/>
          <w:vertAlign w:val="baseline"/>
          <w:rtl w:val="0"/>
        </w:rPr>
        <w:t xml:space="preserve">Discussion.</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Active learning (JiTT + TBL) substantially improved performance, and long-term retention compared with traditional lectures in undergraduate pharmacology. Beyond higher grades, students reported deeper understanding, greater motivation, and enhanced confidence. Findings underscore the value of embedding active learning strategies into pharmacology curricula, particularly in resource-limited contexts where maximizing learning efficiency is critical. </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Parsad V &amp; Divakaran J (2025) MAR Pathol Clin Res 2:4-10.</w:t>
      </w:r>
    </w:p>
    <w:sectPr>
      <w:footerReference r:id="rId6" w:type="default"/>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lcf76f155ced4ddcb4097134ff3c332f</vt:lpwstr>
  </property>
  <property fmtid="{D5CDD505-2E9C-101B-9397-08002B2CF9AE}" pid="3" name="TaxCatchAll">
    <vt:lpwstr>TaxCatchAll</vt:lpwstr>
  </property>
</Properties>
</file>