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966" w:rsidRPr="00014966" w:rsidRDefault="00014966" w:rsidP="00BC76D7">
      <w:pPr>
        <w:widowControl/>
        <w:spacing w:before="100" w:beforeAutospacing="1" w:after="100" w:afterAutospacing="1" w:line="240" w:lineRule="auto"/>
        <w:jc w:val="both"/>
        <w:outlineLvl w:val="0"/>
        <w:rPr>
          <w:rFonts w:ascii="Times New Roman" w:eastAsia="宋体" w:hAnsi="Times New Roman" w:cs="Times New Roman"/>
          <w:b/>
          <w:bCs/>
          <w:kern w:val="36"/>
          <w:sz w:val="32"/>
          <w:szCs w:val="32"/>
          <w14:ligatures w14:val="none"/>
        </w:rPr>
      </w:pPr>
      <w:r w:rsidRPr="00014966">
        <w:rPr>
          <w:rFonts w:ascii="Times New Roman" w:eastAsia="宋体" w:hAnsi="Times New Roman" w:cs="Times New Roman"/>
          <w:b/>
          <w:bCs/>
          <w:kern w:val="36"/>
          <w:sz w:val="32"/>
          <w:szCs w:val="32"/>
          <w14:ligatures w14:val="none"/>
        </w:rPr>
        <w:t>Causal Link between Gut Microbiota and Infertility: A Two-sample Bidirectional Mendelian Randomization Study</w:t>
      </w:r>
    </w:p>
    <w:p w:rsidR="00014966" w:rsidRPr="00BC76D7" w:rsidRDefault="00014966" w:rsidP="00BC76D7">
      <w:pPr>
        <w:widowControl/>
        <w:spacing w:after="0" w:line="240" w:lineRule="auto"/>
        <w:jc w:val="both"/>
        <w:rPr>
          <w:rFonts w:ascii="Times New Roman" w:hAnsi="Times New Roman" w:cs="Times New Roman"/>
          <w:color w:val="212121"/>
          <w:sz w:val="24"/>
          <w:shd w:val="clear" w:color="auto" w:fill="FFFFFF"/>
        </w:rPr>
      </w:pPr>
      <w:hyperlink r:id="rId5" w:history="1">
        <w:r w:rsidRPr="00BC76D7">
          <w:rPr>
            <w:rFonts w:ascii="Times New Roman" w:hAnsi="Times New Roman" w:cs="Times New Roman"/>
            <w:color w:val="212121"/>
            <w:sz w:val="24"/>
            <w:shd w:val="clear" w:color="auto" w:fill="FFFFFF"/>
          </w:rPr>
          <w:t>Jia-Xin Zhang</w:t>
        </w:r>
      </w:hyperlink>
      <w:hyperlink r:id="rId6" w:anchor="full-view-affiliation-1" w:tooltip="Institute of Reproduction Health Research, Tongji Medical College, Huazhong University of Science and Technology, Wuhan, 430030, China." w:history="1">
        <w:r w:rsidRPr="00BC76D7">
          <w:rPr>
            <w:rFonts w:ascii="Times New Roman" w:hAnsi="Times New Roman" w:cs="Times New Roman"/>
            <w:color w:val="212121"/>
            <w:sz w:val="24"/>
            <w:shd w:val="clear" w:color="auto" w:fill="FFFFFF"/>
            <w:vertAlign w:val="superscript"/>
          </w:rPr>
          <w:t>1</w:t>
        </w:r>
      </w:hyperlink>
      <w:r w:rsidRPr="00BC76D7">
        <w:rPr>
          <w:rFonts w:ascii="Times New Roman" w:hAnsi="Times New Roman" w:cs="Times New Roman"/>
          <w:color w:val="212121"/>
          <w:sz w:val="24"/>
          <w:shd w:val="clear" w:color="auto" w:fill="FFFFFF"/>
        </w:rPr>
        <w:t xml:space="preserve">, </w:t>
      </w:r>
      <w:hyperlink r:id="rId7" w:history="1">
        <w:r w:rsidRPr="00BC76D7">
          <w:rPr>
            <w:rFonts w:ascii="Times New Roman" w:hAnsi="Times New Roman" w:cs="Times New Roman"/>
            <w:color w:val="212121"/>
            <w:sz w:val="24"/>
            <w:shd w:val="clear" w:color="auto" w:fill="FFFFFF"/>
          </w:rPr>
          <w:t>Dong-Hui Huang</w:t>
        </w:r>
      </w:hyperlink>
      <w:bookmarkStart w:id="0" w:name="_GoBack"/>
      <w:r w:rsidR="00BC76D7" w:rsidRPr="00BC76D7">
        <w:rPr>
          <w:rFonts w:ascii="Times New Roman" w:hAnsi="Times New Roman" w:cs="Times New Roman"/>
          <w:color w:val="212121"/>
          <w:sz w:val="24"/>
          <w:shd w:val="clear" w:color="auto" w:fill="FFFFFF"/>
          <w:vertAlign w:val="superscript"/>
        </w:rPr>
        <w:t>1</w:t>
      </w:r>
      <w:bookmarkEnd w:id="0"/>
    </w:p>
    <w:p w:rsidR="00BC76D7" w:rsidRPr="00014966" w:rsidRDefault="00BC76D7" w:rsidP="00BC76D7">
      <w:pPr>
        <w:widowControl/>
        <w:spacing w:after="0" w:line="240" w:lineRule="auto"/>
        <w:jc w:val="both"/>
        <w:rPr>
          <w:rFonts w:ascii="Times New Roman" w:eastAsia="宋体" w:hAnsi="Times New Roman" w:cs="Times New Roman"/>
          <w:color w:val="5B616B"/>
          <w:kern w:val="0"/>
          <w:sz w:val="24"/>
          <w14:ligatures w14:val="none"/>
        </w:rPr>
      </w:pPr>
      <w:r w:rsidRPr="00BC76D7">
        <w:rPr>
          <w:rFonts w:ascii="Times New Roman" w:hAnsi="Times New Roman" w:cs="Times New Roman"/>
          <w:color w:val="212121"/>
          <w:sz w:val="24"/>
          <w:shd w:val="clear" w:color="auto" w:fill="FFFFFF"/>
        </w:rPr>
        <w:t xml:space="preserve">1. </w:t>
      </w:r>
      <w:r w:rsidRPr="00BC76D7">
        <w:rPr>
          <w:rFonts w:ascii="Times New Roman" w:hAnsi="Times New Roman" w:cs="Times New Roman"/>
          <w:color w:val="212121"/>
          <w:sz w:val="24"/>
          <w:shd w:val="clear" w:color="auto" w:fill="FFFFFF"/>
        </w:rPr>
        <w:t>Institute of Reproduction Health Research, Tongji Medical College, Huazhong University of Science and Technology, Wuhan, 430030, China.</w:t>
      </w:r>
    </w:p>
    <w:p w:rsidR="00014966" w:rsidRPr="00014966" w:rsidRDefault="00014966" w:rsidP="00BC76D7">
      <w:pPr>
        <w:widowControl/>
        <w:spacing w:after="0" w:line="240" w:lineRule="auto"/>
        <w:jc w:val="both"/>
        <w:rPr>
          <w:rFonts w:ascii="Times New Roman" w:eastAsia="宋体" w:hAnsi="Times New Roman" w:cs="Times New Roman"/>
          <w:kern w:val="0"/>
          <w:sz w:val="24"/>
          <w14:ligatures w14:val="none"/>
        </w:rPr>
      </w:pPr>
      <w:r w:rsidRPr="00014966">
        <w:rPr>
          <w:rFonts w:ascii="Times New Roman" w:eastAsia="宋体" w:hAnsi="Times New Roman" w:cs="Times New Roman"/>
          <w:kern w:val="0"/>
          <w:sz w:val="24"/>
          <w14:ligatures w14:val="none"/>
        </w:rPr>
        <w:t> </w:t>
      </w:r>
    </w:p>
    <w:p w:rsidR="00014966" w:rsidRPr="00014966" w:rsidRDefault="00014966" w:rsidP="00BC76D7">
      <w:pPr>
        <w:widowControl/>
        <w:shd w:val="clear" w:color="auto" w:fill="FFFFFF"/>
        <w:spacing w:before="100" w:beforeAutospacing="1" w:after="100" w:afterAutospacing="1" w:line="240" w:lineRule="auto"/>
        <w:jc w:val="both"/>
        <w:rPr>
          <w:rFonts w:ascii="Times New Roman" w:eastAsia="宋体" w:hAnsi="Times New Roman" w:cs="Times New Roman"/>
          <w:color w:val="212121"/>
          <w:kern w:val="0"/>
          <w:sz w:val="24"/>
          <w14:ligatures w14:val="none"/>
        </w:rPr>
      </w:pPr>
      <w:proofErr w:type="spellStart"/>
      <w:r w:rsidRPr="00BC76D7">
        <w:rPr>
          <w:rFonts w:ascii="Times New Roman" w:eastAsia="宋体" w:hAnsi="Times New Roman" w:cs="Times New Roman"/>
          <w:b/>
          <w:bCs/>
          <w:color w:val="212121"/>
          <w:kern w:val="0"/>
          <w:sz w:val="24"/>
          <w14:ligatures w14:val="none"/>
        </w:rPr>
        <w:t>Backgroud</w:t>
      </w:r>
      <w:proofErr w:type="spellEnd"/>
      <w:r w:rsidRPr="00BC76D7">
        <w:rPr>
          <w:rFonts w:ascii="Times New Roman" w:eastAsia="宋体" w:hAnsi="Times New Roman" w:cs="Times New Roman"/>
          <w:b/>
          <w:bCs/>
          <w:color w:val="212121"/>
          <w:kern w:val="0"/>
          <w:sz w:val="24"/>
          <w14:ligatures w14:val="none"/>
        </w:rPr>
        <w:t xml:space="preserve"> and aims. </w:t>
      </w:r>
      <w:r w:rsidRPr="00014966">
        <w:rPr>
          <w:rFonts w:ascii="Times New Roman" w:eastAsia="宋体" w:hAnsi="Times New Roman" w:cs="Times New Roman"/>
          <w:color w:val="212121"/>
          <w:kern w:val="0"/>
          <w:sz w:val="24"/>
          <w14:ligatures w14:val="none"/>
        </w:rPr>
        <w:t>To investigate the associations of the gut microbiota with reproductive system diseases, including female infertility, male infertility, polycystic ovary syndrome (PCOS), primary ovarian failure, endometriosis, uterine fibroids, uterine polyps, sexual dysfunction, orchitis, and epididymitis.</w:t>
      </w:r>
    </w:p>
    <w:p w:rsidR="00014966" w:rsidRPr="00014966" w:rsidRDefault="00014966" w:rsidP="00BC76D7">
      <w:pPr>
        <w:widowControl/>
        <w:shd w:val="clear" w:color="auto" w:fill="FFFFFF"/>
        <w:spacing w:before="100" w:beforeAutospacing="1" w:after="100" w:afterAutospacing="1" w:line="240" w:lineRule="auto"/>
        <w:jc w:val="both"/>
        <w:rPr>
          <w:rFonts w:ascii="Times New Roman" w:eastAsia="宋体" w:hAnsi="Times New Roman" w:cs="Times New Roman"/>
          <w:color w:val="212121"/>
          <w:kern w:val="0"/>
          <w:sz w:val="24"/>
          <w14:ligatures w14:val="none"/>
        </w:rPr>
      </w:pPr>
      <w:r w:rsidRPr="00BC76D7">
        <w:rPr>
          <w:rFonts w:ascii="Times New Roman" w:eastAsia="宋体" w:hAnsi="Times New Roman" w:cs="Times New Roman"/>
          <w:b/>
          <w:bCs/>
          <w:color w:val="212121"/>
          <w:kern w:val="0"/>
          <w:sz w:val="24"/>
          <w14:ligatures w14:val="none"/>
        </w:rPr>
        <w:t>Methods. </w:t>
      </w:r>
      <w:r w:rsidRPr="00014966">
        <w:rPr>
          <w:rFonts w:ascii="Times New Roman" w:eastAsia="宋体" w:hAnsi="Times New Roman" w:cs="Times New Roman"/>
          <w:color w:val="212121"/>
          <w:kern w:val="0"/>
          <w:sz w:val="24"/>
          <w14:ligatures w14:val="none"/>
        </w:rPr>
        <w:t>A two-sample bidirectional Mendelian randomization (MR) analysis was performed to evaluate the potential causal relationship between the composition of gut microbiota and infertility, along with associated diseases.</w:t>
      </w:r>
    </w:p>
    <w:p w:rsidR="00014966" w:rsidRPr="00014966" w:rsidRDefault="00014966" w:rsidP="00BC76D7">
      <w:pPr>
        <w:widowControl/>
        <w:shd w:val="clear" w:color="auto" w:fill="FFFFFF"/>
        <w:spacing w:before="100" w:beforeAutospacing="1" w:after="100" w:afterAutospacing="1" w:line="240" w:lineRule="auto"/>
        <w:jc w:val="both"/>
        <w:rPr>
          <w:rFonts w:ascii="Times New Roman" w:eastAsia="宋体" w:hAnsi="Times New Roman" w:cs="Times New Roman"/>
          <w:color w:val="212121"/>
          <w:kern w:val="0"/>
          <w:sz w:val="24"/>
          <w14:ligatures w14:val="none"/>
        </w:rPr>
      </w:pPr>
      <w:r w:rsidRPr="00BC76D7">
        <w:rPr>
          <w:rFonts w:ascii="Times New Roman" w:eastAsia="宋体" w:hAnsi="Times New Roman" w:cs="Times New Roman"/>
          <w:b/>
          <w:bCs/>
          <w:color w:val="212121"/>
          <w:kern w:val="0"/>
          <w:sz w:val="24"/>
          <w14:ligatures w14:val="none"/>
        </w:rPr>
        <w:t>Results: </w:t>
      </w:r>
      <w:r w:rsidRPr="00014966">
        <w:rPr>
          <w:rFonts w:ascii="Times New Roman" w:eastAsia="宋体" w:hAnsi="Times New Roman" w:cs="Times New Roman"/>
          <w:color w:val="212121"/>
          <w:kern w:val="0"/>
          <w:sz w:val="24"/>
          <w14:ligatures w14:val="none"/>
        </w:rPr>
        <w:t xml:space="preserve">Sixteen strong causal associations between gut microbes and reproductive system diseases were identified. Sixty-one causal associations between gut microbes and reproductive system diseases were determined. The genus </w:t>
      </w:r>
      <w:proofErr w:type="spellStart"/>
      <w:r w:rsidRPr="00014966">
        <w:rPr>
          <w:rFonts w:ascii="Times New Roman" w:eastAsia="宋体" w:hAnsi="Times New Roman" w:cs="Times New Roman"/>
          <w:color w:val="212121"/>
          <w:kern w:val="0"/>
          <w:sz w:val="24"/>
          <w14:ligatures w14:val="none"/>
        </w:rPr>
        <w:t>Eubacterium</w:t>
      </w:r>
      <w:proofErr w:type="spellEnd"/>
      <w:r w:rsidRPr="00014966">
        <w:rPr>
          <w:rFonts w:ascii="Times New Roman" w:eastAsia="宋体" w:hAnsi="Times New Roman" w:cs="Times New Roman"/>
          <w:color w:val="212121"/>
          <w:kern w:val="0"/>
          <w:sz w:val="24"/>
          <w14:ligatures w14:val="none"/>
        </w:rPr>
        <w:t xml:space="preserve"> </w:t>
      </w:r>
      <w:proofErr w:type="spellStart"/>
      <w:r w:rsidRPr="00014966">
        <w:rPr>
          <w:rFonts w:ascii="Times New Roman" w:eastAsia="宋体" w:hAnsi="Times New Roman" w:cs="Times New Roman"/>
          <w:color w:val="212121"/>
          <w:kern w:val="0"/>
          <w:sz w:val="24"/>
          <w14:ligatures w14:val="none"/>
        </w:rPr>
        <w:t>hallii</w:t>
      </w:r>
      <w:proofErr w:type="spellEnd"/>
      <w:r w:rsidRPr="00014966">
        <w:rPr>
          <w:rFonts w:ascii="Times New Roman" w:eastAsia="宋体" w:hAnsi="Times New Roman" w:cs="Times New Roman"/>
          <w:color w:val="212121"/>
          <w:kern w:val="0"/>
          <w:sz w:val="24"/>
          <w14:ligatures w14:val="none"/>
        </w:rPr>
        <w:t xml:space="preserve"> was a protective factor against premature ovarian failure and a pathogenic factor of endometriosis. The genus </w:t>
      </w:r>
      <w:proofErr w:type="spellStart"/>
      <w:r w:rsidRPr="00014966">
        <w:rPr>
          <w:rFonts w:ascii="Times New Roman" w:eastAsia="宋体" w:hAnsi="Times New Roman" w:cs="Times New Roman"/>
          <w:color w:val="212121"/>
          <w:kern w:val="0"/>
          <w:sz w:val="24"/>
          <w14:ligatures w14:val="none"/>
        </w:rPr>
        <w:t>Erysipelatoclostridium</w:t>
      </w:r>
      <w:proofErr w:type="spellEnd"/>
      <w:r w:rsidRPr="00014966">
        <w:rPr>
          <w:rFonts w:ascii="Times New Roman" w:eastAsia="宋体" w:hAnsi="Times New Roman" w:cs="Times New Roman"/>
          <w:color w:val="212121"/>
          <w:kern w:val="0"/>
          <w:sz w:val="24"/>
          <w14:ligatures w14:val="none"/>
        </w:rPr>
        <w:t xml:space="preserve"> was the pathogenic factor of many diseases, such as PCOS, endometriosis, epididymitis, and orchitis. The genus </w:t>
      </w:r>
      <w:proofErr w:type="spellStart"/>
      <w:r w:rsidRPr="00014966">
        <w:rPr>
          <w:rFonts w:ascii="Times New Roman" w:eastAsia="宋体" w:hAnsi="Times New Roman" w:cs="Times New Roman"/>
          <w:color w:val="212121"/>
          <w:kern w:val="0"/>
          <w:sz w:val="24"/>
          <w14:ligatures w14:val="none"/>
        </w:rPr>
        <w:t>Intestinibacter</w:t>
      </w:r>
      <w:proofErr w:type="spellEnd"/>
      <w:r w:rsidRPr="00014966">
        <w:rPr>
          <w:rFonts w:ascii="Times New Roman" w:eastAsia="宋体" w:hAnsi="Times New Roman" w:cs="Times New Roman"/>
          <w:color w:val="212121"/>
          <w:kern w:val="0"/>
          <w:sz w:val="24"/>
          <w14:ligatures w14:val="none"/>
        </w:rPr>
        <w:t xml:space="preserve"> is a pathogenic factor of male infertility and sexual dysfunction. The family </w:t>
      </w:r>
      <w:proofErr w:type="spellStart"/>
      <w:r w:rsidRPr="00014966">
        <w:rPr>
          <w:rFonts w:ascii="Times New Roman" w:eastAsia="宋体" w:hAnsi="Times New Roman" w:cs="Times New Roman"/>
          <w:color w:val="212121"/>
          <w:kern w:val="0"/>
          <w:sz w:val="24"/>
          <w14:ligatures w14:val="none"/>
        </w:rPr>
        <w:t>Clostridiaceae</w:t>
      </w:r>
      <w:proofErr w:type="spellEnd"/>
      <w:r w:rsidRPr="00014966">
        <w:rPr>
          <w:rFonts w:ascii="Times New Roman" w:eastAsia="宋体" w:hAnsi="Times New Roman" w:cs="Times New Roman"/>
          <w:color w:val="212121"/>
          <w:kern w:val="0"/>
          <w:sz w:val="24"/>
          <w14:ligatures w14:val="none"/>
        </w:rPr>
        <w:t xml:space="preserve"> 1 was a protective factor against uterine polyps and a pathogenic factor of orchitis and epididymitis. The results of reverse causal association analysis revealed that endometriosis, orchitis, and epididymitis all led to a decrease in the abundance of </w:t>
      </w:r>
      <w:proofErr w:type="spellStart"/>
      <w:r w:rsidRPr="00014966">
        <w:rPr>
          <w:rFonts w:ascii="Times New Roman" w:eastAsia="宋体" w:hAnsi="Times New Roman" w:cs="Times New Roman"/>
          <w:color w:val="212121"/>
          <w:kern w:val="0"/>
          <w:sz w:val="24"/>
          <w14:ligatures w14:val="none"/>
        </w:rPr>
        <w:t>bifidobacteria</w:t>
      </w:r>
      <w:proofErr w:type="spellEnd"/>
      <w:r w:rsidRPr="00014966">
        <w:rPr>
          <w:rFonts w:ascii="Times New Roman" w:eastAsia="宋体" w:hAnsi="Times New Roman" w:cs="Times New Roman"/>
          <w:color w:val="212121"/>
          <w:kern w:val="0"/>
          <w:sz w:val="24"/>
          <w14:ligatures w14:val="none"/>
        </w:rPr>
        <w:t xml:space="preserve"> and that female infertility-related diseases had a greater impact on gut microbes than male infertility-related diseases did.</w:t>
      </w:r>
    </w:p>
    <w:p w:rsidR="00014966" w:rsidRPr="00BC76D7" w:rsidRDefault="00014966" w:rsidP="00BC76D7">
      <w:pPr>
        <w:widowControl/>
        <w:shd w:val="clear" w:color="auto" w:fill="FFFFFF"/>
        <w:spacing w:before="100" w:beforeAutospacing="1" w:after="100" w:afterAutospacing="1" w:line="240" w:lineRule="auto"/>
        <w:jc w:val="both"/>
        <w:rPr>
          <w:rFonts w:ascii="Times New Roman" w:eastAsia="宋体" w:hAnsi="Times New Roman" w:cs="Times New Roman"/>
          <w:color w:val="212121"/>
          <w:kern w:val="0"/>
          <w:sz w:val="24"/>
          <w14:ligatures w14:val="none"/>
        </w:rPr>
      </w:pPr>
      <w:r w:rsidRPr="00BC76D7">
        <w:rPr>
          <w:rFonts w:ascii="Times New Roman" w:eastAsia="宋体" w:hAnsi="Times New Roman" w:cs="Times New Roman"/>
          <w:b/>
          <w:bCs/>
          <w:color w:val="212121"/>
          <w:kern w:val="0"/>
          <w:sz w:val="24"/>
          <w14:ligatures w14:val="none"/>
        </w:rPr>
        <w:t>Conclusions: </w:t>
      </w:r>
      <w:r w:rsidRPr="00014966">
        <w:rPr>
          <w:rFonts w:ascii="Times New Roman" w:eastAsia="宋体" w:hAnsi="Times New Roman" w:cs="Times New Roman"/>
          <w:color w:val="212121"/>
          <w:kern w:val="0"/>
          <w:sz w:val="24"/>
          <w14:ligatures w14:val="none"/>
        </w:rPr>
        <w:t>The findings from the MR analysis indicate that there is a bidirectional causal relationship between the gut microbiota and infertility as well as associated ailments. Compared with ovarian diseases, uterine diseases are more likely to lead to changes in women's gut microbiota. The findings of this research offer valuable perspectives on the mechanism and clinical investigation of reproductive system diseases caused by microorganisms.</w:t>
      </w:r>
    </w:p>
    <w:p w:rsidR="00BC76D7" w:rsidRPr="00BC76D7" w:rsidRDefault="00BC76D7" w:rsidP="00BC76D7">
      <w:pPr>
        <w:widowControl/>
        <w:shd w:val="clear" w:color="auto" w:fill="FFFFFF"/>
        <w:spacing w:before="100" w:beforeAutospacing="1" w:after="100" w:afterAutospacing="1" w:line="240" w:lineRule="auto"/>
        <w:jc w:val="both"/>
        <w:outlineLvl w:val="1"/>
        <w:rPr>
          <w:rFonts w:ascii="Times New Roman" w:eastAsia="宋体" w:hAnsi="Times New Roman" w:cs="Times New Roman"/>
          <w:b/>
          <w:bCs/>
          <w:color w:val="212121"/>
          <w:kern w:val="0"/>
          <w:sz w:val="24"/>
          <w14:ligatures w14:val="none"/>
        </w:rPr>
      </w:pPr>
      <w:r w:rsidRPr="00BC76D7">
        <w:rPr>
          <w:rFonts w:ascii="Times New Roman" w:eastAsia="宋体" w:hAnsi="Times New Roman" w:cs="Times New Roman"/>
          <w:b/>
          <w:bCs/>
          <w:color w:val="212121"/>
          <w:kern w:val="0"/>
          <w:sz w:val="24"/>
          <w14:ligatures w14:val="none"/>
        </w:rPr>
        <w:t>References</w:t>
      </w:r>
    </w:p>
    <w:p w:rsidR="00BC76D7" w:rsidRPr="00BC76D7" w:rsidRDefault="00BC76D7" w:rsidP="00BC76D7">
      <w:pPr>
        <w:pStyle w:val="a6"/>
        <w:widowControl/>
        <w:numPr>
          <w:ilvl w:val="0"/>
          <w:numId w:val="4"/>
        </w:numPr>
        <w:shd w:val="clear" w:color="auto" w:fill="FFFFFF"/>
        <w:spacing w:after="0" w:line="240" w:lineRule="auto"/>
        <w:ind w:firstLineChars="0"/>
        <w:jc w:val="both"/>
        <w:rPr>
          <w:rFonts w:ascii="Times New Roman" w:eastAsia="宋体" w:hAnsi="Times New Roman" w:cs="Times New Roman"/>
          <w:color w:val="212121"/>
          <w:kern w:val="0"/>
          <w:sz w:val="24"/>
          <w14:ligatures w14:val="none"/>
        </w:rPr>
      </w:pPr>
      <w:proofErr w:type="spellStart"/>
      <w:r w:rsidRPr="00BC76D7">
        <w:rPr>
          <w:rFonts w:ascii="Times New Roman" w:eastAsia="宋体" w:hAnsi="Times New Roman" w:cs="Times New Roman"/>
          <w:color w:val="212121"/>
          <w:kern w:val="0"/>
          <w:sz w:val="24"/>
          <w14:ligatures w14:val="none"/>
        </w:rPr>
        <w:t>Lozupone</w:t>
      </w:r>
      <w:proofErr w:type="spellEnd"/>
      <w:r w:rsidRPr="00BC76D7">
        <w:rPr>
          <w:rFonts w:ascii="Times New Roman" w:eastAsia="宋体" w:hAnsi="Times New Roman" w:cs="Times New Roman"/>
          <w:color w:val="212121"/>
          <w:kern w:val="0"/>
          <w:sz w:val="24"/>
          <w14:ligatures w14:val="none"/>
        </w:rPr>
        <w:t xml:space="preserve"> CA, Stombaugh JI, Gordon JI, et al. Diversity, stability and resilience of the human gut microbiota. Nature, 2012,489(7415):220–230 </w:t>
      </w:r>
    </w:p>
    <w:p w:rsidR="00BC76D7" w:rsidRPr="00BC76D7" w:rsidRDefault="00BC76D7" w:rsidP="00BC76D7">
      <w:pPr>
        <w:pStyle w:val="a6"/>
        <w:widowControl/>
        <w:numPr>
          <w:ilvl w:val="0"/>
          <w:numId w:val="5"/>
        </w:numPr>
        <w:shd w:val="clear" w:color="auto" w:fill="FFFFFF"/>
        <w:spacing w:after="0" w:line="240" w:lineRule="auto"/>
        <w:ind w:firstLineChars="0"/>
        <w:jc w:val="both"/>
        <w:rPr>
          <w:rFonts w:ascii="Times New Roman" w:eastAsia="宋体" w:hAnsi="Times New Roman" w:cs="Times New Roman"/>
          <w:color w:val="212121"/>
          <w:kern w:val="0"/>
          <w:sz w:val="24"/>
          <w14:ligatures w14:val="none"/>
        </w:rPr>
      </w:pPr>
      <w:proofErr w:type="spellStart"/>
      <w:r w:rsidRPr="00BC76D7">
        <w:rPr>
          <w:rFonts w:ascii="Times New Roman" w:eastAsia="宋体" w:hAnsi="Times New Roman" w:cs="Times New Roman"/>
          <w:color w:val="212121"/>
          <w:kern w:val="0"/>
          <w:sz w:val="24"/>
          <w14:ligatures w14:val="none"/>
        </w:rPr>
        <w:t>Cryan</w:t>
      </w:r>
      <w:proofErr w:type="spellEnd"/>
      <w:r w:rsidRPr="00BC76D7">
        <w:rPr>
          <w:rFonts w:ascii="Times New Roman" w:eastAsia="宋体" w:hAnsi="Times New Roman" w:cs="Times New Roman"/>
          <w:color w:val="212121"/>
          <w:kern w:val="0"/>
          <w:sz w:val="24"/>
          <w14:ligatures w14:val="none"/>
        </w:rPr>
        <w:t xml:space="preserve"> JF, </w:t>
      </w:r>
      <w:proofErr w:type="spellStart"/>
      <w:r w:rsidRPr="00BC76D7">
        <w:rPr>
          <w:rFonts w:ascii="Times New Roman" w:eastAsia="宋体" w:hAnsi="Times New Roman" w:cs="Times New Roman"/>
          <w:color w:val="212121"/>
          <w:kern w:val="0"/>
          <w:sz w:val="24"/>
          <w14:ligatures w14:val="none"/>
        </w:rPr>
        <w:t>O’Riordan</w:t>
      </w:r>
      <w:proofErr w:type="spellEnd"/>
      <w:r w:rsidRPr="00BC76D7">
        <w:rPr>
          <w:rFonts w:ascii="Times New Roman" w:eastAsia="宋体" w:hAnsi="Times New Roman" w:cs="Times New Roman"/>
          <w:color w:val="212121"/>
          <w:kern w:val="0"/>
          <w:sz w:val="24"/>
          <w14:ligatures w14:val="none"/>
        </w:rPr>
        <w:t xml:space="preserve"> KJ, Cowan CSM, et al. The </w:t>
      </w:r>
      <w:proofErr w:type="spellStart"/>
      <w:r w:rsidRPr="00BC76D7">
        <w:rPr>
          <w:rFonts w:ascii="Times New Roman" w:eastAsia="宋体" w:hAnsi="Times New Roman" w:cs="Times New Roman"/>
          <w:color w:val="212121"/>
          <w:kern w:val="0"/>
          <w:sz w:val="24"/>
          <w14:ligatures w14:val="none"/>
        </w:rPr>
        <w:t>microbiotagut</w:t>
      </w:r>
      <w:proofErr w:type="spellEnd"/>
      <w:r w:rsidRPr="00BC76D7">
        <w:rPr>
          <w:rFonts w:ascii="Times New Roman" w:eastAsia="宋体" w:hAnsi="Times New Roman" w:cs="Times New Roman"/>
          <w:color w:val="212121"/>
          <w:kern w:val="0"/>
          <w:sz w:val="24"/>
          <w14:ligatures w14:val="none"/>
        </w:rPr>
        <w:t xml:space="preserve">-brain axis. </w:t>
      </w:r>
      <w:proofErr w:type="spellStart"/>
      <w:r w:rsidRPr="00BC76D7">
        <w:rPr>
          <w:rFonts w:ascii="Times New Roman" w:eastAsia="宋体" w:hAnsi="Times New Roman" w:cs="Times New Roman"/>
          <w:color w:val="212121"/>
          <w:kern w:val="0"/>
          <w:sz w:val="24"/>
          <w14:ligatures w14:val="none"/>
        </w:rPr>
        <w:t>Physiol</w:t>
      </w:r>
      <w:proofErr w:type="spellEnd"/>
      <w:r w:rsidRPr="00BC76D7">
        <w:rPr>
          <w:rFonts w:ascii="Times New Roman" w:eastAsia="宋体" w:hAnsi="Times New Roman" w:cs="Times New Roman"/>
          <w:color w:val="212121"/>
          <w:kern w:val="0"/>
          <w:sz w:val="24"/>
          <w14:ligatures w14:val="none"/>
        </w:rPr>
        <w:t xml:space="preserve"> Rev, 2019,99(4):1877–2013 </w:t>
      </w:r>
    </w:p>
    <w:p w:rsidR="00BC76D7" w:rsidRPr="00BC76D7" w:rsidRDefault="00BC76D7" w:rsidP="00BC76D7">
      <w:pPr>
        <w:pStyle w:val="a6"/>
        <w:widowControl/>
        <w:numPr>
          <w:ilvl w:val="0"/>
          <w:numId w:val="6"/>
        </w:numPr>
        <w:shd w:val="clear" w:color="auto" w:fill="FFFFFF"/>
        <w:spacing w:after="0" w:line="240" w:lineRule="auto"/>
        <w:ind w:firstLineChars="0"/>
        <w:jc w:val="both"/>
        <w:rPr>
          <w:rFonts w:ascii="Times New Roman" w:eastAsia="宋体" w:hAnsi="Times New Roman" w:cs="Times New Roman"/>
          <w:color w:val="212121"/>
          <w:kern w:val="0"/>
          <w:sz w:val="24"/>
          <w14:ligatures w14:val="none"/>
        </w:rPr>
      </w:pPr>
      <w:proofErr w:type="spellStart"/>
      <w:r w:rsidRPr="00BC76D7">
        <w:rPr>
          <w:rFonts w:ascii="Times New Roman" w:eastAsia="宋体" w:hAnsi="Times New Roman" w:cs="Times New Roman"/>
          <w:color w:val="212121"/>
          <w:kern w:val="0"/>
          <w:sz w:val="24"/>
          <w14:ligatures w14:val="none"/>
        </w:rPr>
        <w:lastRenderedPageBreak/>
        <w:t>Heijtza</w:t>
      </w:r>
      <w:proofErr w:type="spellEnd"/>
      <w:r w:rsidRPr="00BC76D7">
        <w:rPr>
          <w:rFonts w:ascii="Times New Roman" w:eastAsia="宋体" w:hAnsi="Times New Roman" w:cs="Times New Roman"/>
          <w:color w:val="212121"/>
          <w:kern w:val="0"/>
          <w:sz w:val="24"/>
          <w14:ligatures w14:val="none"/>
        </w:rPr>
        <w:t xml:space="preserve"> RD, Wang S, </w:t>
      </w:r>
      <w:proofErr w:type="spellStart"/>
      <w:r w:rsidRPr="00BC76D7">
        <w:rPr>
          <w:rFonts w:ascii="Times New Roman" w:eastAsia="宋体" w:hAnsi="Times New Roman" w:cs="Times New Roman"/>
          <w:color w:val="212121"/>
          <w:kern w:val="0"/>
          <w:sz w:val="24"/>
          <w14:ligatures w14:val="none"/>
        </w:rPr>
        <w:t>Anuar</w:t>
      </w:r>
      <w:proofErr w:type="spellEnd"/>
      <w:r w:rsidRPr="00BC76D7">
        <w:rPr>
          <w:rFonts w:ascii="Times New Roman" w:eastAsia="宋体" w:hAnsi="Times New Roman" w:cs="Times New Roman"/>
          <w:color w:val="212121"/>
          <w:kern w:val="0"/>
          <w:sz w:val="24"/>
          <w14:ligatures w14:val="none"/>
        </w:rPr>
        <w:t xml:space="preserve"> F, et al. Normal gut microbiota modulates brain development and behavior. Proc Natl </w:t>
      </w:r>
      <w:proofErr w:type="spellStart"/>
      <w:r w:rsidRPr="00BC76D7">
        <w:rPr>
          <w:rFonts w:ascii="Times New Roman" w:eastAsia="宋体" w:hAnsi="Times New Roman" w:cs="Times New Roman"/>
          <w:color w:val="212121"/>
          <w:kern w:val="0"/>
          <w:sz w:val="24"/>
          <w14:ligatures w14:val="none"/>
        </w:rPr>
        <w:t>Acad</w:t>
      </w:r>
      <w:proofErr w:type="spellEnd"/>
      <w:r w:rsidRPr="00BC76D7">
        <w:rPr>
          <w:rFonts w:ascii="Times New Roman" w:eastAsia="宋体" w:hAnsi="Times New Roman" w:cs="Times New Roman"/>
          <w:color w:val="212121"/>
          <w:kern w:val="0"/>
          <w:sz w:val="24"/>
          <w14:ligatures w14:val="none"/>
        </w:rPr>
        <w:t xml:space="preserve"> Sci U S A, 2011,108(7):3047–3052</w:t>
      </w:r>
    </w:p>
    <w:p w:rsidR="00BC76D7" w:rsidRPr="00BC76D7" w:rsidRDefault="00BC76D7" w:rsidP="00BC76D7">
      <w:pPr>
        <w:pStyle w:val="a6"/>
        <w:widowControl/>
        <w:numPr>
          <w:ilvl w:val="0"/>
          <w:numId w:val="7"/>
        </w:numPr>
        <w:shd w:val="clear" w:color="auto" w:fill="FFFFFF"/>
        <w:spacing w:after="0" w:line="240" w:lineRule="auto"/>
        <w:ind w:firstLineChars="0"/>
        <w:jc w:val="both"/>
        <w:rPr>
          <w:rFonts w:ascii="Times New Roman" w:eastAsia="宋体" w:hAnsi="Times New Roman" w:cs="Times New Roman"/>
          <w:color w:val="212121"/>
          <w:kern w:val="0"/>
          <w:sz w:val="24"/>
          <w14:ligatures w14:val="none"/>
        </w:rPr>
      </w:pPr>
      <w:r w:rsidRPr="00BC76D7">
        <w:rPr>
          <w:rFonts w:ascii="Times New Roman" w:eastAsia="宋体" w:hAnsi="Times New Roman" w:cs="Times New Roman"/>
          <w:color w:val="212121"/>
          <w:kern w:val="0"/>
          <w:sz w:val="24"/>
          <w14:ligatures w14:val="none"/>
        </w:rPr>
        <w:t xml:space="preserve">Hsiao EY, McBride SW, Hsien S, et al. Microbiota Modulate Behavioral and Physiological Abnormalities Associated with Neurodevelopmental Disorders. Cell, 2013,155(7):1451–1463 </w:t>
      </w:r>
    </w:p>
    <w:p w:rsidR="00BC76D7" w:rsidRPr="00BC76D7" w:rsidRDefault="00BC76D7" w:rsidP="00BC76D7">
      <w:pPr>
        <w:pStyle w:val="a6"/>
        <w:widowControl/>
        <w:numPr>
          <w:ilvl w:val="0"/>
          <w:numId w:val="7"/>
        </w:numPr>
        <w:shd w:val="clear" w:color="auto" w:fill="FFFFFF"/>
        <w:spacing w:after="0" w:line="240" w:lineRule="auto"/>
        <w:ind w:firstLineChars="0"/>
        <w:jc w:val="both"/>
        <w:rPr>
          <w:rFonts w:ascii="Times New Roman" w:eastAsia="宋体" w:hAnsi="Times New Roman" w:cs="Times New Roman"/>
          <w:color w:val="212121"/>
          <w:kern w:val="0"/>
          <w:sz w:val="24"/>
          <w14:ligatures w14:val="none"/>
        </w:rPr>
      </w:pPr>
      <w:proofErr w:type="spellStart"/>
      <w:r w:rsidRPr="00BC76D7">
        <w:rPr>
          <w:rFonts w:ascii="Times New Roman" w:eastAsia="宋体" w:hAnsi="Times New Roman" w:cs="Times New Roman"/>
          <w:color w:val="212121"/>
          <w:kern w:val="0"/>
          <w:sz w:val="24"/>
          <w14:ligatures w14:val="none"/>
        </w:rPr>
        <w:t>Morais</w:t>
      </w:r>
      <w:proofErr w:type="spellEnd"/>
      <w:r w:rsidRPr="00BC76D7">
        <w:rPr>
          <w:rFonts w:ascii="Times New Roman" w:eastAsia="宋体" w:hAnsi="Times New Roman" w:cs="Times New Roman"/>
          <w:color w:val="212121"/>
          <w:kern w:val="0"/>
          <w:sz w:val="24"/>
          <w14:ligatures w14:val="none"/>
        </w:rPr>
        <w:t xml:space="preserve"> LH, Schreiber HL, Mazmanian SK. The gut </w:t>
      </w:r>
      <w:proofErr w:type="spellStart"/>
      <w:r w:rsidRPr="00BC76D7">
        <w:rPr>
          <w:rFonts w:ascii="Times New Roman" w:eastAsia="宋体" w:hAnsi="Times New Roman" w:cs="Times New Roman"/>
          <w:color w:val="212121"/>
          <w:kern w:val="0"/>
          <w:sz w:val="24"/>
          <w14:ligatures w14:val="none"/>
        </w:rPr>
        <w:t>microbiotabrain</w:t>
      </w:r>
      <w:proofErr w:type="spellEnd"/>
      <w:r w:rsidRPr="00BC76D7">
        <w:rPr>
          <w:rFonts w:ascii="Times New Roman" w:eastAsia="宋体" w:hAnsi="Times New Roman" w:cs="Times New Roman"/>
          <w:color w:val="212121"/>
          <w:kern w:val="0"/>
          <w:sz w:val="24"/>
          <w14:ligatures w14:val="none"/>
        </w:rPr>
        <w:t xml:space="preserve"> axis in </w:t>
      </w:r>
      <w:proofErr w:type="spellStart"/>
      <w:r w:rsidRPr="00BC76D7">
        <w:rPr>
          <w:rFonts w:ascii="Times New Roman" w:eastAsia="宋体" w:hAnsi="Times New Roman" w:cs="Times New Roman"/>
          <w:color w:val="212121"/>
          <w:kern w:val="0"/>
          <w:sz w:val="24"/>
          <w14:ligatures w14:val="none"/>
        </w:rPr>
        <w:t>behaviour</w:t>
      </w:r>
      <w:proofErr w:type="spellEnd"/>
      <w:r w:rsidRPr="00BC76D7">
        <w:rPr>
          <w:rFonts w:ascii="Times New Roman" w:eastAsia="宋体" w:hAnsi="Times New Roman" w:cs="Times New Roman"/>
          <w:color w:val="212121"/>
          <w:kern w:val="0"/>
          <w:sz w:val="24"/>
          <w14:ligatures w14:val="none"/>
        </w:rPr>
        <w:t xml:space="preserve"> and brain disorders. Nat Rev Microbiol, 2021,19(4):241–255 </w:t>
      </w:r>
    </w:p>
    <w:p w:rsidR="00BC76D7" w:rsidRPr="00014966" w:rsidRDefault="00BC76D7" w:rsidP="00BC76D7">
      <w:pPr>
        <w:widowControl/>
        <w:shd w:val="clear" w:color="auto" w:fill="FFFFFF"/>
        <w:spacing w:before="100" w:beforeAutospacing="1" w:after="100" w:afterAutospacing="1" w:line="240" w:lineRule="auto"/>
        <w:jc w:val="both"/>
        <w:rPr>
          <w:rFonts w:ascii="Times New Roman" w:eastAsia="宋体" w:hAnsi="Times New Roman" w:cs="Times New Roman"/>
          <w:color w:val="212121"/>
          <w:kern w:val="0"/>
          <w:sz w:val="24"/>
          <w14:ligatures w14:val="none"/>
        </w:rPr>
      </w:pPr>
    </w:p>
    <w:p w:rsidR="00AA47F7" w:rsidRPr="00BC76D7" w:rsidRDefault="00AA47F7" w:rsidP="00BC76D7">
      <w:pPr>
        <w:tabs>
          <w:tab w:val="left" w:pos="2003"/>
        </w:tabs>
        <w:jc w:val="both"/>
        <w:rPr>
          <w:rFonts w:ascii="Times New Roman" w:hAnsi="Times New Roman" w:cs="Times New Roman"/>
          <w:sz w:val="24"/>
        </w:rPr>
      </w:pPr>
    </w:p>
    <w:sectPr w:rsidR="00AA47F7" w:rsidRPr="00BC7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26DF"/>
    <w:multiLevelType w:val="multilevel"/>
    <w:tmpl w:val="E184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A4C86"/>
    <w:multiLevelType w:val="multilevel"/>
    <w:tmpl w:val="CD62A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1">
      <w:startOverride w:val="1"/>
    </w:lvlOverride>
  </w:num>
  <w:num w:numId="4">
    <w:abstractNumId w:val="1"/>
    <w:lvlOverride w:ilvl="1">
      <w:startOverride w:val="1"/>
    </w:lvlOverride>
  </w:num>
  <w:num w:numId="5">
    <w:abstractNumId w:val="1"/>
    <w:lvlOverride w:ilvl="1">
      <w:startOverride w:val="1"/>
    </w:lvlOverride>
  </w:num>
  <w:num w:numId="6">
    <w:abstractNumId w:val="1"/>
    <w:lvlOverride w:ilvl="1">
      <w:startOverride w:val="1"/>
    </w:lvlOverride>
  </w:num>
  <w:num w:numId="7">
    <w:abstractNumId w:val="1"/>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66"/>
    <w:rsid w:val="00014966"/>
    <w:rsid w:val="00AA47F7"/>
    <w:rsid w:val="00BC76D7"/>
    <w:rsid w:val="00F37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21ED"/>
  <w15:chartTrackingRefBased/>
  <w15:docId w15:val="{F3045462-0BD5-4B83-A110-FB3406FE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9"/>
    <w:qFormat/>
    <w:rsid w:val="00014966"/>
    <w:pPr>
      <w:widowControl/>
      <w:spacing w:before="100" w:beforeAutospacing="1" w:after="100" w:afterAutospacing="1" w:line="240" w:lineRule="auto"/>
      <w:outlineLvl w:val="0"/>
    </w:pPr>
    <w:rPr>
      <w:rFonts w:ascii="宋体" w:eastAsia="宋体" w:hAnsi="宋体" w:cs="宋体"/>
      <w:b/>
      <w:bCs/>
      <w:kern w:val="36"/>
      <w:sz w:val="48"/>
      <w:szCs w:val="48"/>
      <w14:ligatures w14:val="none"/>
    </w:rPr>
  </w:style>
  <w:style w:type="paragraph" w:styleId="2">
    <w:name w:val="heading 2"/>
    <w:basedOn w:val="a"/>
    <w:link w:val="20"/>
    <w:uiPriority w:val="9"/>
    <w:qFormat/>
    <w:rsid w:val="00014966"/>
    <w:pPr>
      <w:widowControl/>
      <w:spacing w:before="100" w:beforeAutospacing="1" w:after="100" w:afterAutospacing="1" w:line="240" w:lineRule="auto"/>
      <w:outlineLvl w:val="1"/>
    </w:pPr>
    <w:rPr>
      <w:rFonts w:ascii="宋体" w:eastAsia="宋体" w:hAnsi="宋体" w:cs="宋体"/>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966"/>
    <w:rPr>
      <w:rFonts w:ascii="宋体" w:eastAsia="宋体" w:hAnsi="宋体" w:cs="宋体"/>
      <w:b/>
      <w:bCs/>
      <w:kern w:val="36"/>
      <w:sz w:val="48"/>
      <w:szCs w:val="48"/>
      <w14:ligatures w14:val="none"/>
    </w:rPr>
  </w:style>
  <w:style w:type="character" w:customStyle="1" w:styleId="20">
    <w:name w:val="标题 2 字符"/>
    <w:basedOn w:val="a0"/>
    <w:link w:val="2"/>
    <w:uiPriority w:val="9"/>
    <w:rsid w:val="00014966"/>
    <w:rPr>
      <w:rFonts w:ascii="宋体" w:eastAsia="宋体" w:hAnsi="宋体" w:cs="宋体"/>
      <w:b/>
      <w:bCs/>
      <w:kern w:val="0"/>
      <w:sz w:val="36"/>
      <w:szCs w:val="36"/>
      <w14:ligatures w14:val="none"/>
    </w:rPr>
  </w:style>
  <w:style w:type="character" w:customStyle="1" w:styleId="authors-list-item">
    <w:name w:val="authors-list-item"/>
    <w:basedOn w:val="a0"/>
    <w:rsid w:val="00014966"/>
  </w:style>
  <w:style w:type="character" w:styleId="a3">
    <w:name w:val="Hyperlink"/>
    <w:basedOn w:val="a0"/>
    <w:uiPriority w:val="99"/>
    <w:semiHidden/>
    <w:unhideWhenUsed/>
    <w:rsid w:val="00014966"/>
    <w:rPr>
      <w:color w:val="0000FF"/>
      <w:u w:val="single"/>
    </w:rPr>
  </w:style>
  <w:style w:type="character" w:customStyle="1" w:styleId="author-sup-separator">
    <w:name w:val="author-sup-separator"/>
    <w:basedOn w:val="a0"/>
    <w:rsid w:val="00014966"/>
  </w:style>
  <w:style w:type="character" w:customStyle="1" w:styleId="comma">
    <w:name w:val="comma"/>
    <w:basedOn w:val="a0"/>
    <w:rsid w:val="00014966"/>
  </w:style>
  <w:style w:type="character" w:customStyle="1" w:styleId="title">
    <w:name w:val="title"/>
    <w:basedOn w:val="a0"/>
    <w:rsid w:val="00014966"/>
  </w:style>
  <w:style w:type="character" w:customStyle="1" w:styleId="identifier">
    <w:name w:val="identifier"/>
    <w:basedOn w:val="a0"/>
    <w:rsid w:val="00014966"/>
  </w:style>
  <w:style w:type="character" w:customStyle="1" w:styleId="id-label">
    <w:name w:val="id-label"/>
    <w:basedOn w:val="a0"/>
    <w:rsid w:val="00014966"/>
  </w:style>
  <w:style w:type="character" w:styleId="a4">
    <w:name w:val="Strong"/>
    <w:basedOn w:val="a0"/>
    <w:uiPriority w:val="22"/>
    <w:qFormat/>
    <w:rsid w:val="00014966"/>
    <w:rPr>
      <w:b/>
      <w:bCs/>
    </w:rPr>
  </w:style>
  <w:style w:type="paragraph" w:styleId="a5">
    <w:name w:val="Normal (Web)"/>
    <w:basedOn w:val="a"/>
    <w:uiPriority w:val="99"/>
    <w:semiHidden/>
    <w:unhideWhenUsed/>
    <w:rsid w:val="00014966"/>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skip-numbering">
    <w:name w:val="skip-numbering"/>
    <w:basedOn w:val="a"/>
    <w:rsid w:val="00BC76D7"/>
    <w:pPr>
      <w:widowControl/>
      <w:spacing w:before="100" w:beforeAutospacing="1" w:after="100" w:afterAutospacing="1" w:line="240" w:lineRule="auto"/>
    </w:pPr>
    <w:rPr>
      <w:rFonts w:ascii="宋体" w:eastAsia="宋体" w:hAnsi="宋体" w:cs="宋体"/>
      <w:kern w:val="0"/>
      <w:sz w:val="24"/>
      <w14:ligatures w14:val="none"/>
    </w:rPr>
  </w:style>
  <w:style w:type="paragraph" w:styleId="a6">
    <w:name w:val="List Paragraph"/>
    <w:basedOn w:val="a"/>
    <w:uiPriority w:val="34"/>
    <w:qFormat/>
    <w:rsid w:val="00BC76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5302">
      <w:bodyDiv w:val="1"/>
      <w:marLeft w:val="0"/>
      <w:marRight w:val="0"/>
      <w:marTop w:val="0"/>
      <w:marBottom w:val="0"/>
      <w:divBdr>
        <w:top w:val="none" w:sz="0" w:space="0" w:color="auto"/>
        <w:left w:val="none" w:sz="0" w:space="0" w:color="auto"/>
        <w:bottom w:val="none" w:sz="0" w:space="0" w:color="auto"/>
        <w:right w:val="none" w:sz="0" w:space="0" w:color="auto"/>
      </w:divBdr>
      <w:divsChild>
        <w:div w:id="937367676">
          <w:marLeft w:val="0"/>
          <w:marRight w:val="0"/>
          <w:marTop w:val="0"/>
          <w:marBottom w:val="0"/>
          <w:divBdr>
            <w:top w:val="none" w:sz="0" w:space="0" w:color="auto"/>
            <w:left w:val="none" w:sz="0" w:space="0" w:color="auto"/>
            <w:bottom w:val="none" w:sz="0" w:space="0" w:color="auto"/>
            <w:right w:val="none" w:sz="0" w:space="0" w:color="auto"/>
          </w:divBdr>
          <w:divsChild>
            <w:div w:id="2000301460">
              <w:marLeft w:val="0"/>
              <w:marRight w:val="0"/>
              <w:marTop w:val="0"/>
              <w:marBottom w:val="0"/>
              <w:divBdr>
                <w:top w:val="none" w:sz="0" w:space="0" w:color="auto"/>
                <w:left w:val="none" w:sz="0" w:space="0" w:color="auto"/>
                <w:bottom w:val="none" w:sz="0" w:space="0" w:color="auto"/>
                <w:right w:val="none" w:sz="0" w:space="0" w:color="auto"/>
              </w:divBdr>
              <w:divsChild>
                <w:div w:id="1265072266">
                  <w:marLeft w:val="0"/>
                  <w:marRight w:val="0"/>
                  <w:marTop w:val="0"/>
                  <w:marBottom w:val="0"/>
                  <w:divBdr>
                    <w:top w:val="none" w:sz="0" w:space="0" w:color="auto"/>
                    <w:left w:val="none" w:sz="0" w:space="0" w:color="auto"/>
                    <w:bottom w:val="none" w:sz="0" w:space="0" w:color="auto"/>
                    <w:right w:val="none" w:sz="0" w:space="0" w:color="auto"/>
                  </w:divBdr>
                  <w:divsChild>
                    <w:div w:id="5148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2967">
              <w:marLeft w:val="0"/>
              <w:marRight w:val="0"/>
              <w:marTop w:val="0"/>
              <w:marBottom w:val="0"/>
              <w:divBdr>
                <w:top w:val="none" w:sz="0" w:space="0" w:color="auto"/>
                <w:left w:val="none" w:sz="0" w:space="0" w:color="auto"/>
                <w:bottom w:val="none" w:sz="0" w:space="0" w:color="auto"/>
                <w:right w:val="none" w:sz="0" w:space="0" w:color="auto"/>
              </w:divBdr>
            </w:div>
          </w:divsChild>
        </w:div>
        <w:div w:id="1947468787">
          <w:marLeft w:val="0"/>
          <w:marRight w:val="0"/>
          <w:marTop w:val="0"/>
          <w:marBottom w:val="0"/>
          <w:divBdr>
            <w:top w:val="none" w:sz="0" w:space="0" w:color="auto"/>
            <w:left w:val="none" w:sz="0" w:space="0" w:color="auto"/>
            <w:bottom w:val="none" w:sz="0" w:space="0" w:color="auto"/>
            <w:right w:val="none" w:sz="0" w:space="0" w:color="auto"/>
          </w:divBdr>
          <w:divsChild>
            <w:div w:id="139037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57417">
      <w:bodyDiv w:val="1"/>
      <w:marLeft w:val="0"/>
      <w:marRight w:val="0"/>
      <w:marTop w:val="0"/>
      <w:marBottom w:val="0"/>
      <w:divBdr>
        <w:top w:val="none" w:sz="0" w:space="0" w:color="auto"/>
        <w:left w:val="none" w:sz="0" w:space="0" w:color="auto"/>
        <w:bottom w:val="none" w:sz="0" w:space="0" w:color="auto"/>
        <w:right w:val="none" w:sz="0" w:space="0" w:color="auto"/>
      </w:divBdr>
      <w:divsChild>
        <w:div w:id="1576820861">
          <w:marLeft w:val="0"/>
          <w:marRight w:val="0"/>
          <w:marTop w:val="0"/>
          <w:marBottom w:val="0"/>
          <w:divBdr>
            <w:top w:val="none" w:sz="0" w:space="0" w:color="auto"/>
            <w:left w:val="none" w:sz="0" w:space="0" w:color="auto"/>
            <w:bottom w:val="none" w:sz="0" w:space="0" w:color="auto"/>
            <w:right w:val="none" w:sz="0" w:space="0" w:color="auto"/>
          </w:divBdr>
          <w:divsChild>
            <w:div w:id="227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sort=date&amp;size=200&amp;term=Huang+DH&amp;cauthor_id=395518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9551855/" TargetMode="External"/><Relationship Id="rId5" Type="http://schemas.openxmlformats.org/officeDocument/2006/relationships/hyperlink" Target="https://pubmed.ncbi.nlm.nih.gov/?sort=date&amp;size=200&amp;term=Zhang+JX&amp;cauthor_id=395518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2025-07-26T08:18:00Z</dcterms:created>
  <dcterms:modified xsi:type="dcterms:W3CDTF">2025-07-26T08:26:00Z</dcterms:modified>
</cp:coreProperties>
</file>