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EC93" w14:textId="51AF9E28" w:rsidR="003A4DE9" w:rsidRPr="00F36EA0" w:rsidRDefault="003A4DE9" w:rsidP="009A4CFF">
      <w:pPr>
        <w:ind w:left="284" w:right="282"/>
        <w:jc w:val="center"/>
        <w:rPr>
          <w:rFonts w:asciiTheme="minorHAnsi" w:hAnsiTheme="minorHAnsi" w:cstheme="minorHAnsi"/>
          <w:b/>
          <w:sz w:val="22"/>
          <w:szCs w:val="22"/>
          <w:lang w:val="en-AU"/>
        </w:rPr>
      </w:pPr>
      <w:r w:rsidRPr="00F36EA0">
        <w:rPr>
          <w:rFonts w:asciiTheme="minorHAnsi" w:hAnsiTheme="minorHAnsi" w:cstheme="minorHAnsi"/>
          <w:b/>
          <w:sz w:val="22"/>
          <w:szCs w:val="22"/>
          <w:lang w:val="en-AU"/>
        </w:rPr>
        <w:t xml:space="preserve">A (Super) Bug's Life: </w:t>
      </w:r>
      <w:bookmarkStart w:id="0" w:name="_GoBack"/>
      <w:bookmarkEnd w:id="0"/>
      <w:r w:rsidRPr="00F36EA0">
        <w:rPr>
          <w:rFonts w:asciiTheme="minorHAnsi" w:hAnsiTheme="minorHAnsi" w:cstheme="minorHAnsi"/>
          <w:b/>
          <w:sz w:val="22"/>
          <w:szCs w:val="22"/>
          <w:lang w:val="en-AU"/>
        </w:rPr>
        <w:t>Antimicrobial Particles as Next Generation Antimicrobial Strategies</w:t>
      </w:r>
      <w:r w:rsidRPr="00F36EA0">
        <w:rPr>
          <w:rFonts w:asciiTheme="minorHAnsi" w:hAnsiTheme="minorHAnsi" w:cstheme="minorHAnsi"/>
          <w:b/>
          <w:sz w:val="22"/>
          <w:szCs w:val="22"/>
          <w:lang w:val="en-AU"/>
        </w:rPr>
        <w:t xml:space="preserve"> </w:t>
      </w:r>
    </w:p>
    <w:p w14:paraId="31479071" w14:textId="56AB5AFC" w:rsidR="00997C34" w:rsidRPr="00F36EA0" w:rsidRDefault="00D26B5F" w:rsidP="009A4CFF">
      <w:pPr>
        <w:ind w:left="284" w:right="282"/>
        <w:jc w:val="center"/>
        <w:rPr>
          <w:rFonts w:asciiTheme="minorHAnsi" w:hAnsiTheme="minorHAnsi" w:cstheme="minorHAnsi"/>
          <w:sz w:val="22"/>
          <w:szCs w:val="22"/>
          <w:vertAlign w:val="superscript"/>
        </w:rPr>
      </w:pPr>
      <w:r w:rsidRPr="00F36EA0">
        <w:rPr>
          <w:rFonts w:asciiTheme="minorHAnsi" w:hAnsiTheme="minorHAnsi" w:cstheme="minorHAnsi"/>
          <w:sz w:val="22"/>
          <w:szCs w:val="22"/>
        </w:rPr>
        <w:t>Samuel Cheeseman</w:t>
      </w:r>
      <w:r w:rsidRPr="00F36EA0">
        <w:rPr>
          <w:rFonts w:asciiTheme="minorHAnsi" w:hAnsiTheme="minorHAnsi" w:cstheme="minorHAnsi"/>
          <w:sz w:val="22"/>
          <w:szCs w:val="22"/>
          <w:vertAlign w:val="superscript"/>
        </w:rPr>
        <w:t>1</w:t>
      </w:r>
      <w:r w:rsidRPr="00F36EA0">
        <w:rPr>
          <w:rFonts w:asciiTheme="minorHAnsi" w:hAnsiTheme="minorHAnsi" w:cstheme="minorHAnsi"/>
          <w:sz w:val="22"/>
          <w:szCs w:val="22"/>
        </w:rPr>
        <w:t>, Sheeana Gangadoo</w:t>
      </w:r>
      <w:r w:rsidRPr="00F36EA0">
        <w:rPr>
          <w:rFonts w:asciiTheme="minorHAnsi" w:hAnsiTheme="minorHAnsi" w:cstheme="minorHAnsi"/>
          <w:sz w:val="22"/>
          <w:szCs w:val="22"/>
          <w:vertAlign w:val="superscript"/>
        </w:rPr>
        <w:t>1</w:t>
      </w:r>
      <w:r w:rsidRPr="00F36EA0">
        <w:rPr>
          <w:rFonts w:asciiTheme="minorHAnsi" w:hAnsiTheme="minorHAnsi" w:cstheme="minorHAnsi"/>
          <w:sz w:val="22"/>
          <w:szCs w:val="22"/>
        </w:rPr>
        <w:t>, Russell J. Crawford</w:t>
      </w:r>
      <w:r w:rsidRPr="00F36EA0">
        <w:rPr>
          <w:rFonts w:asciiTheme="minorHAnsi" w:hAnsiTheme="minorHAnsi" w:cstheme="minorHAnsi"/>
          <w:sz w:val="22"/>
          <w:szCs w:val="22"/>
          <w:vertAlign w:val="superscript"/>
        </w:rPr>
        <w:t>1</w:t>
      </w:r>
      <w:r w:rsidRPr="00F36EA0">
        <w:rPr>
          <w:rFonts w:asciiTheme="minorHAnsi" w:hAnsiTheme="minorHAnsi" w:cstheme="minorHAnsi"/>
          <w:sz w:val="22"/>
          <w:szCs w:val="22"/>
        </w:rPr>
        <w:t>, Torben Daeneke</w:t>
      </w:r>
      <w:r w:rsidRPr="00F36EA0">
        <w:rPr>
          <w:rFonts w:asciiTheme="minorHAnsi" w:hAnsiTheme="minorHAnsi" w:cstheme="minorHAnsi"/>
          <w:sz w:val="22"/>
          <w:szCs w:val="22"/>
          <w:vertAlign w:val="superscript"/>
        </w:rPr>
        <w:t>2</w:t>
      </w:r>
      <w:r w:rsidRPr="00F36EA0">
        <w:rPr>
          <w:rFonts w:asciiTheme="minorHAnsi" w:hAnsiTheme="minorHAnsi" w:cstheme="minorHAnsi"/>
          <w:sz w:val="22"/>
          <w:szCs w:val="22"/>
        </w:rPr>
        <w:t xml:space="preserve">, </w:t>
      </w:r>
      <w:r w:rsidR="00D973FC" w:rsidRPr="00F36EA0">
        <w:rPr>
          <w:rFonts w:asciiTheme="minorHAnsi" w:hAnsiTheme="minorHAnsi" w:cstheme="minorHAnsi"/>
          <w:sz w:val="22"/>
          <w:szCs w:val="22"/>
        </w:rPr>
        <w:t>Daniel Cozzolino</w:t>
      </w:r>
      <w:r w:rsidR="00D973FC" w:rsidRPr="00F36EA0">
        <w:rPr>
          <w:rFonts w:asciiTheme="minorHAnsi" w:hAnsiTheme="minorHAnsi" w:cstheme="minorHAnsi"/>
          <w:sz w:val="22"/>
          <w:szCs w:val="22"/>
          <w:vertAlign w:val="superscript"/>
        </w:rPr>
        <w:t>1</w:t>
      </w:r>
      <w:r w:rsidR="00D973FC" w:rsidRPr="00F36EA0">
        <w:rPr>
          <w:rFonts w:asciiTheme="minorHAnsi" w:hAnsiTheme="minorHAnsi" w:cstheme="minorHAnsi"/>
          <w:sz w:val="22"/>
          <w:szCs w:val="22"/>
        </w:rPr>
        <w:t xml:space="preserve">, </w:t>
      </w:r>
      <w:r w:rsidRPr="00F36EA0">
        <w:rPr>
          <w:rFonts w:asciiTheme="minorHAnsi" w:hAnsiTheme="minorHAnsi" w:cstheme="minorHAnsi"/>
          <w:sz w:val="22"/>
          <w:szCs w:val="22"/>
        </w:rPr>
        <w:t>Aaron Elbourne</w:t>
      </w:r>
      <w:proofErr w:type="gramStart"/>
      <w:r w:rsidRPr="00F36EA0">
        <w:rPr>
          <w:rFonts w:asciiTheme="minorHAnsi" w:hAnsiTheme="minorHAnsi" w:cstheme="minorHAnsi"/>
          <w:sz w:val="22"/>
          <w:szCs w:val="22"/>
          <w:vertAlign w:val="superscript"/>
        </w:rPr>
        <w:t>1,*</w:t>
      </w:r>
      <w:proofErr w:type="gramEnd"/>
      <w:r w:rsidRPr="00F36EA0">
        <w:rPr>
          <w:rFonts w:asciiTheme="minorHAnsi" w:hAnsiTheme="minorHAnsi" w:cstheme="minorHAnsi"/>
          <w:sz w:val="22"/>
          <w:szCs w:val="22"/>
        </w:rPr>
        <w:t>, Vi Khanh Truong</w:t>
      </w:r>
      <w:r w:rsidRPr="00F36EA0">
        <w:rPr>
          <w:rFonts w:asciiTheme="minorHAnsi" w:hAnsiTheme="minorHAnsi" w:cstheme="minorHAnsi"/>
          <w:sz w:val="22"/>
          <w:szCs w:val="22"/>
          <w:vertAlign w:val="superscript"/>
        </w:rPr>
        <w:t xml:space="preserve"> 1,*</w:t>
      </w:r>
      <w:r w:rsidRPr="00F36EA0">
        <w:rPr>
          <w:rFonts w:asciiTheme="minorHAnsi" w:hAnsiTheme="minorHAnsi" w:cstheme="minorHAnsi"/>
          <w:sz w:val="22"/>
          <w:szCs w:val="22"/>
        </w:rPr>
        <w:t xml:space="preserve"> and </w:t>
      </w:r>
      <w:r w:rsidRPr="00F36EA0">
        <w:rPr>
          <w:rFonts w:asciiTheme="minorHAnsi" w:hAnsiTheme="minorHAnsi" w:cstheme="minorHAnsi"/>
          <w:sz w:val="22"/>
          <w:szCs w:val="22"/>
          <w:u w:val="single"/>
        </w:rPr>
        <w:t>James Chapman</w:t>
      </w:r>
      <w:r w:rsidRPr="00F36EA0">
        <w:rPr>
          <w:rFonts w:asciiTheme="minorHAnsi" w:hAnsiTheme="minorHAnsi" w:cstheme="minorHAnsi"/>
          <w:sz w:val="22"/>
          <w:szCs w:val="22"/>
          <w:u w:val="single"/>
          <w:vertAlign w:val="superscript"/>
        </w:rPr>
        <w:t>1</w:t>
      </w:r>
      <w:r w:rsidRPr="00F36EA0">
        <w:rPr>
          <w:rFonts w:asciiTheme="minorHAnsi" w:hAnsiTheme="minorHAnsi" w:cstheme="minorHAnsi"/>
          <w:sz w:val="22"/>
          <w:szCs w:val="22"/>
          <w:vertAlign w:val="superscript"/>
        </w:rPr>
        <w:t>,*</w:t>
      </w:r>
    </w:p>
    <w:p w14:paraId="06CE6BB6" w14:textId="77777777" w:rsidR="00A5497C" w:rsidRPr="00F36EA0" w:rsidRDefault="00A5497C" w:rsidP="009A4CFF">
      <w:pPr>
        <w:ind w:left="284" w:right="282"/>
        <w:jc w:val="center"/>
        <w:rPr>
          <w:rFonts w:asciiTheme="minorHAnsi" w:hAnsiTheme="minorHAnsi" w:cstheme="minorHAnsi"/>
          <w:sz w:val="22"/>
          <w:szCs w:val="22"/>
          <w:vertAlign w:val="superscript"/>
          <w:lang w:val="en-AU"/>
        </w:rPr>
      </w:pPr>
    </w:p>
    <w:p w14:paraId="49C1B73F" w14:textId="77777777" w:rsidR="0076455F" w:rsidRPr="00F36EA0" w:rsidRDefault="0076455F" w:rsidP="0076455F">
      <w:pPr>
        <w:rPr>
          <w:rFonts w:asciiTheme="minorHAnsi" w:eastAsia="MS Gothic" w:hAnsiTheme="minorHAnsi" w:cstheme="minorHAnsi"/>
          <w:sz w:val="22"/>
          <w:szCs w:val="22"/>
        </w:rPr>
      </w:pPr>
      <w:r w:rsidRPr="00F36EA0">
        <w:rPr>
          <w:rFonts w:asciiTheme="minorHAnsi" w:eastAsia="MS Gothic" w:hAnsiTheme="minorHAnsi" w:cstheme="minorHAnsi"/>
          <w:sz w:val="22"/>
          <w:szCs w:val="22"/>
          <w:vertAlign w:val="superscript"/>
        </w:rPr>
        <w:t>1</w:t>
      </w:r>
      <w:r w:rsidRPr="00F36EA0">
        <w:rPr>
          <w:rFonts w:asciiTheme="minorHAnsi" w:eastAsia="MS Gothic" w:hAnsiTheme="minorHAnsi" w:cstheme="minorHAnsi"/>
          <w:sz w:val="22"/>
          <w:szCs w:val="22"/>
        </w:rPr>
        <w:t xml:space="preserve"> Nanobiotechnology Laboratory, School of Science, College of Science, Engineering and Health, RMIT University, Melbourne, VIC 3001, Australia</w:t>
      </w:r>
    </w:p>
    <w:p w14:paraId="279FC787" w14:textId="3806E9C1" w:rsidR="0076455F" w:rsidRPr="00F36EA0" w:rsidRDefault="0076455F" w:rsidP="0076455F">
      <w:pPr>
        <w:rPr>
          <w:rFonts w:asciiTheme="minorHAnsi" w:eastAsia="MS Gothic" w:hAnsiTheme="minorHAnsi" w:cstheme="minorHAnsi"/>
          <w:sz w:val="22"/>
          <w:szCs w:val="22"/>
        </w:rPr>
      </w:pPr>
      <w:r w:rsidRPr="00F36EA0">
        <w:rPr>
          <w:rFonts w:asciiTheme="minorHAnsi" w:eastAsia="MS Gothic" w:hAnsiTheme="minorHAnsi" w:cstheme="minorHAnsi"/>
          <w:sz w:val="22"/>
          <w:szCs w:val="22"/>
          <w:vertAlign w:val="superscript"/>
        </w:rPr>
        <w:t xml:space="preserve">2 </w:t>
      </w:r>
      <w:r w:rsidRPr="00F36EA0">
        <w:rPr>
          <w:rFonts w:asciiTheme="minorHAnsi" w:eastAsia="MS Gothic" w:hAnsiTheme="minorHAnsi" w:cstheme="minorHAnsi"/>
          <w:sz w:val="22"/>
          <w:szCs w:val="22"/>
        </w:rPr>
        <w:t>School of Engineering, RMIT University, Melbourne, VIC 3001, Australia</w:t>
      </w:r>
    </w:p>
    <w:p w14:paraId="05E17889" w14:textId="13EB153D" w:rsidR="00711813" w:rsidRPr="00F36EA0" w:rsidRDefault="00A5497C" w:rsidP="00A5497C">
      <w:pPr>
        <w:pStyle w:val="Default"/>
        <w:ind w:right="282"/>
        <w:jc w:val="both"/>
        <w:rPr>
          <w:rFonts w:asciiTheme="minorHAnsi" w:hAnsiTheme="minorHAnsi" w:cstheme="minorHAnsi"/>
          <w:color w:val="auto"/>
          <w:sz w:val="22"/>
          <w:szCs w:val="22"/>
          <w:lang w:val="en-AU"/>
        </w:rPr>
      </w:pPr>
      <w:r w:rsidRPr="00F36EA0">
        <w:rPr>
          <w:rFonts w:asciiTheme="minorHAnsi" w:hAnsiTheme="minorHAnsi" w:cstheme="minorHAnsi"/>
          <w:sz w:val="22"/>
          <w:szCs w:val="22"/>
        </w:rPr>
        <w:fldChar w:fldCharType="begin"/>
      </w:r>
      <w:r w:rsidRPr="00F36EA0">
        <w:rPr>
          <w:rFonts w:asciiTheme="minorHAnsi" w:hAnsiTheme="minorHAnsi" w:cstheme="minorHAnsi"/>
          <w:sz w:val="22"/>
          <w:szCs w:val="22"/>
        </w:rPr>
        <w:instrText xml:space="preserve"> HYPERLINK "mailto:</w:instrText>
      </w:r>
      <w:r w:rsidRPr="00F36EA0">
        <w:rPr>
          <w:rFonts w:asciiTheme="minorHAnsi" w:hAnsiTheme="minorHAnsi" w:cstheme="minorHAnsi"/>
          <w:sz w:val="22"/>
          <w:szCs w:val="22"/>
        </w:rPr>
        <w:instrText>james.chapman@rmit.edu.au</w:instrText>
      </w:r>
      <w:r w:rsidRPr="00F36EA0">
        <w:rPr>
          <w:rFonts w:asciiTheme="minorHAnsi" w:hAnsiTheme="minorHAnsi" w:cstheme="minorHAnsi"/>
          <w:sz w:val="22"/>
          <w:szCs w:val="22"/>
        </w:rPr>
        <w:instrText xml:space="preserve">" </w:instrText>
      </w:r>
      <w:r w:rsidRPr="00F36EA0">
        <w:rPr>
          <w:rFonts w:asciiTheme="minorHAnsi" w:hAnsiTheme="minorHAnsi" w:cstheme="minorHAnsi"/>
          <w:sz w:val="22"/>
          <w:szCs w:val="22"/>
        </w:rPr>
        <w:fldChar w:fldCharType="separate"/>
      </w:r>
      <w:r w:rsidRPr="00F36EA0">
        <w:rPr>
          <w:rStyle w:val="Hyperlink"/>
          <w:rFonts w:asciiTheme="minorHAnsi" w:hAnsiTheme="minorHAnsi" w:cstheme="minorHAnsi"/>
          <w:sz w:val="22"/>
          <w:szCs w:val="22"/>
        </w:rPr>
        <w:t>james.chapman@rmit.edu.au</w:t>
      </w:r>
      <w:r w:rsidRPr="00F36EA0">
        <w:rPr>
          <w:rFonts w:asciiTheme="minorHAnsi" w:hAnsiTheme="minorHAnsi" w:cstheme="minorHAnsi"/>
          <w:sz w:val="22"/>
          <w:szCs w:val="22"/>
        </w:rPr>
        <w:fldChar w:fldCharType="end"/>
      </w:r>
      <w:r w:rsidRPr="00F36EA0">
        <w:rPr>
          <w:rStyle w:val="Hyperlink"/>
          <w:rFonts w:asciiTheme="minorHAnsi" w:hAnsiTheme="minorHAnsi" w:cstheme="minorHAnsi"/>
          <w:sz w:val="22"/>
          <w:szCs w:val="22"/>
        </w:rPr>
        <w:t xml:space="preserve"> </w:t>
      </w:r>
      <w:r w:rsidR="00711813" w:rsidRPr="00F36EA0">
        <w:rPr>
          <w:rFonts w:asciiTheme="minorHAnsi" w:hAnsiTheme="minorHAnsi" w:cstheme="minorHAnsi"/>
          <w:i/>
          <w:color w:val="auto"/>
          <w:sz w:val="22"/>
          <w:szCs w:val="22"/>
        </w:rPr>
        <w:t xml:space="preserve"> </w:t>
      </w:r>
    </w:p>
    <w:p w14:paraId="351118B0" w14:textId="70A768DF" w:rsidR="00895B75" w:rsidRPr="00F36EA0" w:rsidRDefault="00731685" w:rsidP="00F36EA0">
      <w:pPr>
        <w:pStyle w:val="HTMLPreformatted"/>
        <w:spacing w:before="120" w:line="360" w:lineRule="exact"/>
        <w:jc w:val="both"/>
        <w:rPr>
          <w:rFonts w:asciiTheme="minorHAnsi" w:eastAsia="MS Mincho" w:hAnsiTheme="minorHAnsi" w:cstheme="minorHAnsi"/>
          <w:sz w:val="22"/>
          <w:szCs w:val="22"/>
        </w:rPr>
      </w:pPr>
      <w:r w:rsidRPr="00F36EA0">
        <w:rPr>
          <w:rFonts w:asciiTheme="minorHAnsi" w:hAnsiTheme="minorHAnsi" w:cstheme="minorHAnsi"/>
          <w:noProof/>
          <w:sz w:val="22"/>
          <w:szCs w:val="22"/>
        </w:rPr>
        <mc:AlternateContent>
          <mc:Choice Requires="wps">
            <w:drawing>
              <wp:anchor distT="0" distB="0" distL="114300" distR="114300" simplePos="0" relativeHeight="251662848" behindDoc="0" locked="0" layoutInCell="1" allowOverlap="1" wp14:anchorId="616F38D5" wp14:editId="47F627EE">
                <wp:simplePos x="0" y="0"/>
                <wp:positionH relativeFrom="column">
                  <wp:posOffset>358140</wp:posOffset>
                </wp:positionH>
                <wp:positionV relativeFrom="paragraph">
                  <wp:posOffset>6475730</wp:posOffset>
                </wp:positionV>
                <wp:extent cx="5038725" cy="635"/>
                <wp:effectExtent l="0" t="0" r="3175" b="12065"/>
                <wp:wrapTopAndBottom/>
                <wp:docPr id="1" name="Text Box 1"/>
                <wp:cNvGraphicFramePr/>
                <a:graphic xmlns:a="http://schemas.openxmlformats.org/drawingml/2006/main">
                  <a:graphicData uri="http://schemas.microsoft.com/office/word/2010/wordprocessingShape">
                    <wps:wsp>
                      <wps:cNvSpPr txBox="1"/>
                      <wps:spPr>
                        <a:xfrm>
                          <a:off x="0" y="0"/>
                          <a:ext cx="5038725" cy="635"/>
                        </a:xfrm>
                        <a:prstGeom prst="rect">
                          <a:avLst/>
                        </a:prstGeom>
                        <a:solidFill>
                          <a:prstClr val="white"/>
                        </a:solidFill>
                        <a:ln>
                          <a:noFill/>
                        </a:ln>
                      </wps:spPr>
                      <wps:txbx>
                        <w:txbxContent>
                          <w:p w14:paraId="4273D461" w14:textId="5CFD9ACE" w:rsidR="00731685" w:rsidRPr="004154D5" w:rsidRDefault="00731685" w:rsidP="00731685">
                            <w:pPr>
                              <w:pStyle w:val="Caption"/>
                              <w:rPr>
                                <w:rFonts w:eastAsia="MS Mincho" w:cs="MS Gothic"/>
                                <w:noProof/>
                                <w:sz w:val="21"/>
                                <w:szCs w:val="21"/>
                                <w:lang w:eastAsia="en-AU"/>
                              </w:rPr>
                            </w:pPr>
                            <w:r>
                              <w:t xml:space="preserve">Figure </w:t>
                            </w:r>
                            <w:r>
                              <w:fldChar w:fldCharType="begin"/>
                            </w:r>
                            <w:r>
                              <w:instrText xml:space="preserve"> SEQ Figure \* ARABIC </w:instrText>
                            </w:r>
                            <w:r>
                              <w:fldChar w:fldCharType="separate"/>
                            </w:r>
                            <w:r>
                              <w:rPr>
                                <w:noProof/>
                              </w:rPr>
                              <w:t>1</w:t>
                            </w:r>
                            <w:r>
                              <w:fldChar w:fldCharType="end"/>
                            </w:r>
                            <w:r>
                              <w:t>:</w:t>
                            </w:r>
                            <w:r w:rsidRPr="00731685">
                              <w:t xml:space="preserve"> </w:t>
                            </w:r>
                            <w:r w:rsidRPr="00170B78">
                              <w:t>Confocal laser scanning microscopy (CLSM) images showing predominately viable cells (green) in the control samples and inactivated cells (red) in the treated samples. Scanning electron microscopy (SEM) images highlighting the interactions</w:t>
                            </w:r>
                            <w:r w:rsidRPr="00731685">
                              <w:t xml:space="preserve"> between the gallium liquid metal droplets and E. coli and S. aureus.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16F38D5" id="_x0000_t202" coordsize="21600,21600" o:spt="202" path="m,l,21600r21600,l21600,xe">
                <v:stroke joinstyle="miter"/>
                <v:path gradientshapeok="t" o:connecttype="rect"/>
              </v:shapetype>
              <v:shape id="Text Box 1" o:spid="_x0000_s1026" type="#_x0000_t202" style="position:absolute;left:0;text-align:left;margin-left:28.2pt;margin-top:509.9pt;width:396.75pt;height:.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" stroked="f">
                <v:textbox style="mso-fit-shape-to-text:t" inset="0,0,0,0">
                  <w:txbxContent>
                    <w:p w14:paraId="4273D461" w14:textId="5CFD9ACE" w:rsidR="00731685" w:rsidRPr="004154D5" w:rsidRDefault="00731685" w:rsidP="00731685">
                      <w:pPr>
                        <w:pStyle w:val="Caption"/>
                        <w:rPr>
                          <w:rFonts w:eastAsia="MS Mincho" w:cs="MS Gothic"/>
                          <w:noProof/>
                          <w:sz w:val="21"/>
                          <w:szCs w:val="21"/>
                          <w:lang w:eastAsia="en-AU"/>
                        </w:rPr>
                      </w:pPr>
                      <w:r>
                        <w:t xml:space="preserve">Figure </w:t>
                      </w:r>
                      <w:r>
                        <w:fldChar w:fldCharType="begin"/>
                      </w:r>
                      <w:r>
                        <w:instrText xml:space="preserve"> SEQ Figure \* ARABIC </w:instrText>
                      </w:r>
                      <w:r>
                        <w:fldChar w:fldCharType="separate"/>
                      </w:r>
                      <w:r>
                        <w:rPr>
                          <w:noProof/>
                        </w:rPr>
                        <w:t>1</w:t>
                      </w:r>
                      <w:r>
                        <w:fldChar w:fldCharType="end"/>
                      </w:r>
                      <w:r>
                        <w:t>:</w:t>
                      </w:r>
                      <w:r w:rsidRPr="00731685">
                        <w:t xml:space="preserve"> </w:t>
                      </w:r>
                      <w:r w:rsidRPr="00170B78">
                        <w:t>Confocal laser scanning microscopy (CLSM) images showing predominately viable cells (green) in the control samples and inactivated cells (red) in the treated samples. Scanning electron microscopy (SEM) images highlighting the interactions</w:t>
                      </w:r>
                      <w:r w:rsidRPr="00731685">
                        <w:t xml:space="preserve"> between the gallium liquid metal droplets and E. coli and S. aureus.</w:t>
                      </w:r>
                    </w:p>
                  </w:txbxContent>
                </v:textbox>
                <w10:wrap type="topAndBottom"/>
              </v:shape>
            </w:pict>
          </mc:Fallback>
        </mc:AlternateContent>
      </w:r>
      <w:r w:rsidR="0047587B" w:rsidRPr="00F36EA0">
        <w:rPr>
          <w:rFonts w:asciiTheme="minorHAnsi" w:eastAsia="MS Mincho" w:hAnsiTheme="minorHAnsi" w:cstheme="minorHAnsi"/>
          <w:noProof/>
          <w:sz w:val="22"/>
          <w:szCs w:val="22"/>
          <w:lang w:val="en-AU" w:eastAsia="en-AU"/>
        </w:rPr>
        <w:drawing>
          <wp:anchor distT="0" distB="0" distL="114300" distR="114300" simplePos="0" relativeHeight="251660800" behindDoc="0" locked="0" layoutInCell="1" allowOverlap="1" wp14:anchorId="48C8612A" wp14:editId="79F1B4D4">
            <wp:simplePos x="0" y="0"/>
            <wp:positionH relativeFrom="margin">
              <wp:posOffset>358140</wp:posOffset>
            </wp:positionH>
            <wp:positionV relativeFrom="paragraph">
              <wp:posOffset>3134555</wp:posOffset>
            </wp:positionV>
            <wp:extent cx="5038725" cy="3284220"/>
            <wp:effectExtent l="0" t="0" r="3175" b="0"/>
            <wp:wrapTopAndBottom/>
            <wp:docPr id="2" name="Picture 2" descr="A picture containing photo,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 b="-13119"/>
                    <a:stretch/>
                  </pic:blipFill>
                  <pic:spPr bwMode="auto">
                    <a:xfrm>
                      <a:off x="0" y="0"/>
                      <a:ext cx="5038725" cy="328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5B75" w:rsidRPr="00F36EA0">
        <w:rPr>
          <w:rFonts w:asciiTheme="minorHAnsi" w:eastAsia="MS Mincho" w:hAnsiTheme="minorHAnsi" w:cstheme="minorHAnsi"/>
          <w:sz w:val="22"/>
          <w:szCs w:val="22"/>
        </w:rPr>
        <w:t>Antimicrobial resistance (AMR) is one of the most significant health-related issues of the 21</w:t>
      </w:r>
      <w:r w:rsidR="00895B75" w:rsidRPr="00F36EA0">
        <w:rPr>
          <w:rFonts w:asciiTheme="minorHAnsi" w:eastAsia="MS Mincho" w:hAnsiTheme="minorHAnsi" w:cstheme="minorHAnsi"/>
          <w:sz w:val="22"/>
          <w:szCs w:val="22"/>
          <w:vertAlign w:val="superscript"/>
        </w:rPr>
        <w:t>st</w:t>
      </w:r>
      <w:r w:rsidR="00895B75" w:rsidRPr="00F36EA0">
        <w:rPr>
          <w:rFonts w:asciiTheme="minorHAnsi" w:eastAsia="MS Mincho" w:hAnsiTheme="minorHAnsi" w:cstheme="minorHAnsi"/>
          <w:sz w:val="22"/>
          <w:szCs w:val="22"/>
        </w:rPr>
        <w:t xml:space="preserve"> century which necessitates the need for alternative treatment technologies [1]. The toolbox of agents used to treat microbial infections is at a breaking point, where no new discoveries of antibiotics have come to fruition. This lack of discovery, coupled with poor management and use of antibiotics have resulted in AMR, a problem the World Health Organization says is now a global crisis. As a potential replacement to the antibiotic crisis, metal and metal oxide nanoparticles (NPs) have been studied. Additionally, antibacterial effects of metal ions have also been demonstrated to be effective, where gallium ions have shown displayed significant efficacy in the ability to kill microorganisms. However, there is limited research surrounding the interactions of gallium metal with bacteria.</w:t>
      </w:r>
      <w:r w:rsidR="00895B75" w:rsidRPr="00F36EA0">
        <w:rPr>
          <w:rFonts w:asciiTheme="minorHAnsi" w:hAnsiTheme="minorHAnsi" w:cstheme="minorHAnsi"/>
          <w:sz w:val="22"/>
          <w:szCs w:val="22"/>
        </w:rPr>
        <w:t xml:space="preserve"> </w:t>
      </w:r>
      <w:r w:rsidR="00895B75" w:rsidRPr="00F36EA0">
        <w:rPr>
          <w:rFonts w:asciiTheme="minorHAnsi" w:eastAsia="MS Mincho" w:hAnsiTheme="minorHAnsi" w:cstheme="minorHAnsi"/>
          <w:sz w:val="22"/>
          <w:szCs w:val="22"/>
        </w:rPr>
        <w:t>In this work, we demonstrate novel results to fill this gap showing the antibacterial activity of gallium micro-/nanodroplets against the Gram-positive, Gram-negative</w:t>
      </w:r>
      <w:r w:rsidR="00895B75" w:rsidRPr="00F36EA0">
        <w:rPr>
          <w:rFonts w:asciiTheme="minorHAnsi" w:eastAsia="MS Mincho" w:hAnsiTheme="minorHAnsi" w:cstheme="minorHAnsi"/>
          <w:iCs/>
          <w:sz w:val="22"/>
          <w:szCs w:val="22"/>
        </w:rPr>
        <w:t xml:space="preserve"> and Fungal strains</w:t>
      </w:r>
      <w:r w:rsidR="00895B75" w:rsidRPr="00F36EA0">
        <w:rPr>
          <w:rFonts w:asciiTheme="minorHAnsi" w:eastAsia="MS Mincho" w:hAnsiTheme="minorHAnsi" w:cstheme="minorHAnsi"/>
          <w:sz w:val="22"/>
          <w:szCs w:val="22"/>
        </w:rPr>
        <w:t>. Additionally, we propose a novel antibacterial burst and release mechanism of the liquid metal droplets. The knowledge gained through this work will inform future designs of antibacterial technologies, also providing fundamental results on the interactions between bacteria and liquid metals.</w:t>
      </w:r>
    </w:p>
    <w:p w14:paraId="49BE3155" w14:textId="22C49E6D" w:rsidR="00895B75" w:rsidRPr="00F36EA0" w:rsidRDefault="00895B75" w:rsidP="00895B75">
      <w:pPr>
        <w:tabs>
          <w:tab w:val="left" w:pos="1244"/>
        </w:tabs>
        <w:rPr>
          <w:rFonts w:asciiTheme="minorHAnsi" w:hAnsiTheme="minorHAnsi" w:cstheme="minorHAnsi"/>
          <w:sz w:val="22"/>
          <w:szCs w:val="22"/>
        </w:rPr>
      </w:pPr>
    </w:p>
    <w:p w14:paraId="2077739B" w14:textId="77777777" w:rsidR="00895B75" w:rsidRPr="00F36EA0" w:rsidRDefault="00895B75" w:rsidP="00895B75">
      <w:pPr>
        <w:tabs>
          <w:tab w:val="left" w:pos="1244"/>
        </w:tabs>
        <w:rPr>
          <w:rFonts w:asciiTheme="minorHAnsi" w:hAnsiTheme="minorHAnsi" w:cstheme="minorHAnsi"/>
          <w:b/>
          <w:sz w:val="22"/>
          <w:szCs w:val="22"/>
        </w:rPr>
      </w:pPr>
      <w:r w:rsidRPr="00F36EA0">
        <w:rPr>
          <w:rFonts w:asciiTheme="minorHAnsi" w:hAnsiTheme="minorHAnsi" w:cstheme="minorHAnsi"/>
          <w:b/>
          <w:sz w:val="22"/>
          <w:szCs w:val="22"/>
        </w:rPr>
        <w:t xml:space="preserve">References </w:t>
      </w:r>
    </w:p>
    <w:p w14:paraId="6FA20119" w14:textId="622FF7FC" w:rsidR="00895B75" w:rsidRPr="00F36EA0" w:rsidRDefault="00895B75" w:rsidP="00F36EA0">
      <w:pPr>
        <w:ind w:right="282"/>
        <w:jc w:val="both"/>
        <w:rPr>
          <w:rFonts w:asciiTheme="minorHAnsi" w:hAnsiTheme="minorHAnsi" w:cstheme="minorHAnsi"/>
          <w:b/>
          <w:bCs/>
          <w:sz w:val="22"/>
          <w:szCs w:val="22"/>
          <w:lang w:val="en-AU"/>
        </w:rPr>
      </w:pPr>
      <w:r w:rsidRPr="00F36EA0">
        <w:rPr>
          <w:rFonts w:asciiTheme="minorHAnsi" w:hAnsiTheme="minorHAnsi" w:cstheme="minorHAnsi"/>
          <w:sz w:val="22"/>
          <w:szCs w:val="22"/>
        </w:rPr>
        <w:t>[1[ K, Bush et. al., Nature Reviews Microbiology, 9, (2011) 894-896.</w:t>
      </w:r>
    </w:p>
    <w:p w14:paraId="19A0A76F" w14:textId="77777777" w:rsidR="00F97620" w:rsidRPr="00F36EA0" w:rsidRDefault="00F97620" w:rsidP="00F36EA0">
      <w:pPr>
        <w:ind w:right="282"/>
        <w:jc w:val="both"/>
        <w:rPr>
          <w:rFonts w:asciiTheme="minorHAnsi" w:hAnsiTheme="minorHAnsi" w:cstheme="minorHAnsi"/>
          <w:sz w:val="22"/>
          <w:szCs w:val="22"/>
          <w:lang w:val="en-AU"/>
        </w:rPr>
      </w:pPr>
    </w:p>
    <w:sectPr w:rsidR="00F97620" w:rsidRPr="00F36EA0"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20636D"/>
    <w:rsid w:val="002078AD"/>
    <w:rsid w:val="002226BB"/>
    <w:rsid w:val="00225236"/>
    <w:rsid w:val="002272B0"/>
    <w:rsid w:val="00300B92"/>
    <w:rsid w:val="0030585E"/>
    <w:rsid w:val="00387491"/>
    <w:rsid w:val="003A4DE9"/>
    <w:rsid w:val="00447188"/>
    <w:rsid w:val="0047587B"/>
    <w:rsid w:val="00483B05"/>
    <w:rsid w:val="004E28B9"/>
    <w:rsid w:val="004E5450"/>
    <w:rsid w:val="00504714"/>
    <w:rsid w:val="005226A8"/>
    <w:rsid w:val="0055229D"/>
    <w:rsid w:val="0055796E"/>
    <w:rsid w:val="00562D19"/>
    <w:rsid w:val="0059609A"/>
    <w:rsid w:val="00597659"/>
    <w:rsid w:val="005E48A2"/>
    <w:rsid w:val="005F19FF"/>
    <w:rsid w:val="00641190"/>
    <w:rsid w:val="006448F3"/>
    <w:rsid w:val="006B3866"/>
    <w:rsid w:val="00711813"/>
    <w:rsid w:val="00724E3C"/>
    <w:rsid w:val="00731685"/>
    <w:rsid w:val="00743C46"/>
    <w:rsid w:val="0076455F"/>
    <w:rsid w:val="008909C9"/>
    <w:rsid w:val="00895B75"/>
    <w:rsid w:val="00947B77"/>
    <w:rsid w:val="00997C34"/>
    <w:rsid w:val="009A4CFF"/>
    <w:rsid w:val="009B2641"/>
    <w:rsid w:val="009E2228"/>
    <w:rsid w:val="009F06D6"/>
    <w:rsid w:val="00A266B4"/>
    <w:rsid w:val="00A5497C"/>
    <w:rsid w:val="00BC383C"/>
    <w:rsid w:val="00BC5FCC"/>
    <w:rsid w:val="00BE6D3F"/>
    <w:rsid w:val="00C60A71"/>
    <w:rsid w:val="00C7572B"/>
    <w:rsid w:val="00CC165A"/>
    <w:rsid w:val="00D26B5F"/>
    <w:rsid w:val="00D55F3B"/>
    <w:rsid w:val="00D973FC"/>
    <w:rsid w:val="00DA2731"/>
    <w:rsid w:val="00DB4497"/>
    <w:rsid w:val="00DC0ABB"/>
    <w:rsid w:val="00DF1C8E"/>
    <w:rsid w:val="00E55110"/>
    <w:rsid w:val="00EF12F3"/>
    <w:rsid w:val="00F26BBE"/>
    <w:rsid w:val="00F36EA0"/>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styleId="FollowedHyperlink">
    <w:name w:val="FollowedHyperlink"/>
    <w:basedOn w:val="DefaultParagraphFont"/>
    <w:uiPriority w:val="99"/>
    <w:semiHidden/>
    <w:unhideWhenUsed/>
    <w:rsid w:val="0076455F"/>
    <w:rPr>
      <w:color w:val="954F72" w:themeColor="followedHyperlink"/>
      <w:u w:val="single"/>
    </w:rPr>
  </w:style>
  <w:style w:type="paragraph" w:styleId="HTMLPreformatted">
    <w:name w:val="HTML Preformatted"/>
    <w:basedOn w:val="Normal"/>
    <w:link w:val="HTMLPreformattedChar"/>
    <w:rsid w:val="00895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PreformattedChar">
    <w:name w:val="HTML Preformatted Char"/>
    <w:basedOn w:val="DefaultParagraphFont"/>
    <w:link w:val="HTMLPreformatted"/>
    <w:rsid w:val="00895B75"/>
    <w:rPr>
      <w:rFonts w:ascii="MS Gothic" w:eastAsia="MS Gothic" w:hAnsi="MS Gothic" w:cs="MS Gothic"/>
      <w:sz w:val="24"/>
      <w:szCs w:val="24"/>
      <w:lang w:val="en-US" w:eastAsia="ja-JP"/>
    </w:rPr>
  </w:style>
  <w:style w:type="paragraph" w:styleId="Caption">
    <w:name w:val="caption"/>
    <w:basedOn w:val="Normal"/>
    <w:next w:val="Normal"/>
    <w:uiPriority w:val="35"/>
    <w:unhideWhenUsed/>
    <w:qFormat/>
    <w:rsid w:val="0047587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1728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1995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James Chapman</cp:lastModifiedBy>
  <cp:revision>17</cp:revision>
  <cp:lastPrinted>2013-06-13T05:15:00Z</cp:lastPrinted>
  <dcterms:created xsi:type="dcterms:W3CDTF">2019-09-08T09:23:00Z</dcterms:created>
  <dcterms:modified xsi:type="dcterms:W3CDTF">2019-09-08T09:55:00Z</dcterms:modified>
</cp:coreProperties>
</file>