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77BC" w14:textId="77777777" w:rsidR="00000BE4" w:rsidRPr="00000BE4" w:rsidRDefault="00951FF8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L</w:t>
      </w:r>
      <w:r w:rsidR="00000BE4" w:rsidRPr="00000BE4">
        <w:rPr>
          <w:rFonts w:ascii="Calibri" w:hAnsi="Calibri" w:cs="Calibri"/>
          <w:b/>
          <w:bCs/>
          <w:sz w:val="20"/>
          <w:szCs w:val="20"/>
          <w:lang w:val="en-AU"/>
        </w:rPr>
        <w:t xml:space="preserve">inking 5-FU therapeutic drug monitoring with </w:t>
      </w:r>
      <w:proofErr w:type="spellStart"/>
      <w:r w:rsidR="00FB5EB4" w:rsidRPr="00FB5EB4">
        <w:rPr>
          <w:rFonts w:ascii="Calibri" w:hAnsi="Calibri" w:cs="Calibri"/>
          <w:b/>
          <w:bCs/>
          <w:sz w:val="20"/>
          <w:szCs w:val="20"/>
        </w:rPr>
        <w:t>dihydropyrimidine</w:t>
      </w:r>
      <w:proofErr w:type="spellEnd"/>
      <w:r w:rsidR="00FB5EB4" w:rsidRPr="00FB5EB4">
        <w:rPr>
          <w:rFonts w:ascii="Calibri" w:hAnsi="Calibri" w:cs="Calibri"/>
          <w:b/>
          <w:bCs/>
          <w:sz w:val="20"/>
          <w:szCs w:val="20"/>
        </w:rPr>
        <w:t xml:space="preserve"> dehydrogenase</w:t>
      </w:r>
      <w:r w:rsidR="00FB5EB4" w:rsidRPr="00FB5EB4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FB5EB4">
        <w:rPr>
          <w:rFonts w:ascii="Calibri" w:hAnsi="Calibri" w:cs="Calibri"/>
          <w:b/>
          <w:bCs/>
          <w:sz w:val="20"/>
          <w:szCs w:val="20"/>
          <w:lang w:val="en-AU"/>
        </w:rPr>
        <w:t>(</w:t>
      </w:r>
      <w:r w:rsidR="00000BE4" w:rsidRPr="00000BE4">
        <w:rPr>
          <w:rFonts w:ascii="Calibri" w:hAnsi="Calibri" w:cs="Calibri"/>
          <w:b/>
          <w:bCs/>
          <w:sz w:val="20"/>
          <w:szCs w:val="20"/>
          <w:lang w:val="en-AU"/>
        </w:rPr>
        <w:t>DPD</w:t>
      </w:r>
      <w:r w:rsidR="00FB5EB4">
        <w:rPr>
          <w:rFonts w:ascii="Calibri" w:hAnsi="Calibri" w:cs="Calibri"/>
          <w:b/>
          <w:bCs/>
          <w:sz w:val="20"/>
          <w:szCs w:val="20"/>
          <w:lang w:val="en-AU"/>
        </w:rPr>
        <w:t>)</w:t>
      </w:r>
      <w:r w:rsidR="00000BE4" w:rsidRPr="00000BE4">
        <w:rPr>
          <w:rFonts w:ascii="Calibri" w:hAnsi="Calibri" w:cs="Calibri"/>
          <w:b/>
          <w:bCs/>
          <w:sz w:val="20"/>
          <w:szCs w:val="20"/>
          <w:lang w:val="en-AU"/>
        </w:rPr>
        <w:t xml:space="preserve"> phenotype </w:t>
      </w:r>
      <w:r w:rsidR="00B94F11">
        <w:rPr>
          <w:rFonts w:ascii="Calibri" w:hAnsi="Calibri" w:cs="Calibri"/>
          <w:b/>
          <w:bCs/>
          <w:sz w:val="20"/>
          <w:szCs w:val="20"/>
          <w:lang w:val="en-AU"/>
        </w:rPr>
        <w:t>and genotype</w:t>
      </w:r>
      <w:r w:rsidR="00000BE4" w:rsidRPr="00000BE4">
        <w:rPr>
          <w:rFonts w:ascii="Calibri" w:hAnsi="Calibri" w:cs="Calibri"/>
          <w:b/>
          <w:bCs/>
          <w:sz w:val="20"/>
          <w:szCs w:val="20"/>
          <w:lang w:val="en-AU"/>
        </w:rPr>
        <w:t>.</w:t>
      </w:r>
    </w:p>
    <w:p w14:paraId="19896328" w14:textId="77777777" w:rsidR="00000BE4" w:rsidRPr="00000BE4" w:rsidRDefault="00000BE4" w:rsidP="00711813">
      <w:pPr>
        <w:jc w:val="both"/>
        <w:rPr>
          <w:rFonts w:ascii="Calibri" w:hAnsi="Calibri" w:cs="Calibri"/>
          <w:sz w:val="20"/>
          <w:szCs w:val="20"/>
          <w:vertAlign w:val="superscript"/>
          <w:lang w:val="en-AU"/>
        </w:rPr>
      </w:pPr>
      <w:r w:rsidRPr="00733C7C">
        <w:rPr>
          <w:rFonts w:ascii="Calibri" w:hAnsi="Calibri" w:cs="Calibri"/>
          <w:sz w:val="20"/>
          <w:szCs w:val="20"/>
          <w:u w:val="single"/>
          <w:lang w:val="en-AU"/>
        </w:rPr>
        <w:t>Lauren Clarke</w:t>
      </w:r>
      <w:r w:rsidRPr="00733C7C">
        <w:rPr>
          <w:rFonts w:ascii="Calibri" w:hAnsi="Calibri" w:cs="Calibri"/>
          <w:sz w:val="20"/>
          <w:szCs w:val="20"/>
          <w:u w:val="single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Rui Zhang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Rhonda Maguire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Conchita Boyder</w:t>
      </w:r>
      <w:r w:rsidR="00733C7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David A Joyce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1, 2</w:t>
      </w:r>
      <w:r>
        <w:rPr>
          <w:rFonts w:ascii="Calibri" w:hAnsi="Calibri" w:cs="Calibri"/>
          <w:sz w:val="20"/>
          <w:szCs w:val="20"/>
          <w:lang w:val="en-AU"/>
        </w:rPr>
        <w:t>, Sam Salman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1, 2, 3</w:t>
      </w:r>
    </w:p>
    <w:p w14:paraId="46ADB2AC" w14:textId="77777777" w:rsidR="00000BE4" w:rsidRPr="00000BE4" w:rsidRDefault="00000BE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000BE4">
        <w:rPr>
          <w:rFonts w:ascii="Calibri" w:hAnsi="Calibri" w:cs="Calibri"/>
          <w:sz w:val="20"/>
          <w:szCs w:val="20"/>
        </w:rPr>
        <w:t>Clinical Biochemistry and Pharmacology</w:t>
      </w:r>
      <w:r>
        <w:rPr>
          <w:rFonts w:ascii="Calibri" w:hAnsi="Calibri" w:cs="Calibri"/>
          <w:sz w:val="20"/>
          <w:szCs w:val="20"/>
        </w:rPr>
        <w:t xml:space="preserve"> Department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PathWest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>, Nedlands, WA, Australia;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Medical School, UWA, Crawley, WA, Australia;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Curtin Medical School, Curtin University, Bentley, WA, Australia</w:t>
      </w:r>
    </w:p>
    <w:p w14:paraId="10AC52B8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3DEE1557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00BE4">
        <w:rPr>
          <w:rFonts w:ascii="Calibri" w:hAnsi="Calibri" w:cs="Calibri"/>
          <w:sz w:val="20"/>
          <w:szCs w:val="20"/>
          <w:lang w:val="en-AU"/>
        </w:rPr>
        <w:t>Therapeutic drug monitoring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(TDM)</w:t>
      </w:r>
      <w:r w:rsidR="00000BE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4C98">
        <w:rPr>
          <w:rFonts w:ascii="Calibri" w:hAnsi="Calibri" w:cs="Calibri"/>
          <w:sz w:val="20"/>
          <w:szCs w:val="20"/>
          <w:lang w:val="en-AU"/>
        </w:rPr>
        <w:t xml:space="preserve">assists in refining doses to optimise efficacy and </w:t>
      </w:r>
      <w:r w:rsidR="00B94F11">
        <w:rPr>
          <w:rFonts w:ascii="Calibri" w:hAnsi="Calibri" w:cs="Calibri"/>
          <w:sz w:val="20"/>
          <w:szCs w:val="20"/>
          <w:lang w:val="en-AU"/>
        </w:rPr>
        <w:t xml:space="preserve">minimise </w:t>
      </w:r>
      <w:r w:rsidR="00204C98">
        <w:rPr>
          <w:rFonts w:ascii="Calibri" w:hAnsi="Calibri" w:cs="Calibri"/>
          <w:sz w:val="20"/>
          <w:szCs w:val="20"/>
          <w:lang w:val="en-AU"/>
        </w:rPr>
        <w:t>toxicity after treatment has</w:t>
      </w:r>
      <w:r w:rsidR="00B94F11">
        <w:rPr>
          <w:rFonts w:ascii="Calibri" w:hAnsi="Calibri" w:cs="Calibri"/>
          <w:sz w:val="20"/>
          <w:szCs w:val="20"/>
          <w:lang w:val="en-AU"/>
        </w:rPr>
        <w:t xml:space="preserve"> commenced</w:t>
      </w:r>
      <w:r w:rsidR="00204C98">
        <w:rPr>
          <w:rFonts w:ascii="Calibri" w:hAnsi="Calibri" w:cs="Calibri"/>
          <w:sz w:val="20"/>
          <w:szCs w:val="20"/>
          <w:lang w:val="en-AU"/>
        </w:rPr>
        <w:t xml:space="preserve">. The risk of severe toxicity </w:t>
      </w:r>
      <w:r w:rsidR="00B94F11">
        <w:rPr>
          <w:rFonts w:ascii="Calibri" w:hAnsi="Calibri" w:cs="Calibri"/>
          <w:sz w:val="20"/>
          <w:szCs w:val="20"/>
          <w:lang w:val="en-AU"/>
        </w:rPr>
        <w:t xml:space="preserve">or even death </w:t>
      </w:r>
      <w:r w:rsidR="00204C98">
        <w:rPr>
          <w:rFonts w:ascii="Calibri" w:hAnsi="Calibri" w:cs="Calibri"/>
          <w:sz w:val="20"/>
          <w:szCs w:val="20"/>
          <w:lang w:val="en-AU"/>
        </w:rPr>
        <w:t xml:space="preserve">with some drugs, however, warrants prospective testing of metabolic clearance before first dose administration. Thiopurine </w:t>
      </w:r>
      <w:r w:rsidR="00302612">
        <w:rPr>
          <w:rFonts w:ascii="Calibri" w:hAnsi="Calibri" w:cs="Calibri"/>
          <w:sz w:val="20"/>
          <w:szCs w:val="20"/>
          <w:lang w:val="en-AU"/>
        </w:rPr>
        <w:t>drugs</w:t>
      </w:r>
      <w:r w:rsidR="00951FF8">
        <w:rPr>
          <w:rFonts w:ascii="Calibri" w:hAnsi="Calibri" w:cs="Calibri"/>
          <w:sz w:val="20"/>
          <w:szCs w:val="20"/>
          <w:lang w:val="en-AU"/>
        </w:rPr>
        <w:t>,</w:t>
      </w:r>
      <w:r w:rsidR="00302612">
        <w:rPr>
          <w:rFonts w:ascii="Calibri" w:hAnsi="Calibri" w:cs="Calibri"/>
          <w:sz w:val="20"/>
          <w:szCs w:val="20"/>
          <w:lang w:val="en-AU"/>
        </w:rPr>
        <w:t xml:space="preserve"> such as azathioprine</w:t>
      </w:r>
      <w:r w:rsidR="00951FF8">
        <w:rPr>
          <w:rFonts w:ascii="Calibri" w:hAnsi="Calibri" w:cs="Calibri"/>
          <w:sz w:val="20"/>
          <w:szCs w:val="20"/>
          <w:lang w:val="en-AU"/>
        </w:rPr>
        <w:t>,</w:t>
      </w:r>
      <w:r w:rsidR="003026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4C98">
        <w:rPr>
          <w:rFonts w:ascii="Calibri" w:hAnsi="Calibri" w:cs="Calibri"/>
          <w:sz w:val="20"/>
          <w:szCs w:val="20"/>
          <w:lang w:val="en-AU"/>
        </w:rPr>
        <w:t>and fluoropyrimidine drugs</w:t>
      </w:r>
      <w:r w:rsidR="00951FF8">
        <w:rPr>
          <w:rFonts w:ascii="Calibri" w:hAnsi="Calibri" w:cs="Calibri"/>
          <w:sz w:val="20"/>
          <w:szCs w:val="20"/>
          <w:lang w:val="en-AU"/>
        </w:rPr>
        <w:t>,</w:t>
      </w:r>
      <w:r w:rsidR="00204C9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5EB4">
        <w:rPr>
          <w:rFonts w:ascii="Calibri" w:hAnsi="Calibri" w:cs="Calibri"/>
          <w:sz w:val="20"/>
          <w:szCs w:val="20"/>
          <w:lang w:val="en-AU"/>
        </w:rPr>
        <w:t>such as 5-fluorouracil (5</w:t>
      </w:r>
      <w:r w:rsidR="004B38D9">
        <w:rPr>
          <w:rFonts w:ascii="Calibri" w:hAnsi="Calibri" w:cs="Calibri"/>
          <w:sz w:val="20"/>
          <w:szCs w:val="20"/>
          <w:lang w:val="en-AU"/>
        </w:rPr>
        <w:t>-</w:t>
      </w:r>
      <w:r w:rsidR="00FB5EB4">
        <w:rPr>
          <w:rFonts w:ascii="Calibri" w:hAnsi="Calibri" w:cs="Calibri"/>
          <w:sz w:val="20"/>
          <w:szCs w:val="20"/>
          <w:lang w:val="en-AU"/>
        </w:rPr>
        <w:t>FU)</w:t>
      </w:r>
      <w:r w:rsidR="00951FF8">
        <w:rPr>
          <w:rFonts w:ascii="Calibri" w:hAnsi="Calibri" w:cs="Calibri"/>
          <w:sz w:val="20"/>
          <w:szCs w:val="20"/>
          <w:lang w:val="en-AU"/>
        </w:rPr>
        <w:t>,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4C98">
        <w:rPr>
          <w:rFonts w:ascii="Calibri" w:hAnsi="Calibri" w:cs="Calibri"/>
          <w:sz w:val="20"/>
          <w:szCs w:val="20"/>
          <w:lang w:val="en-AU"/>
        </w:rPr>
        <w:t xml:space="preserve">are </w:t>
      </w:r>
      <w:proofErr w:type="gramStart"/>
      <w:r w:rsidR="00204C98">
        <w:rPr>
          <w:rFonts w:ascii="Calibri" w:hAnsi="Calibri" w:cs="Calibri"/>
          <w:sz w:val="20"/>
          <w:szCs w:val="20"/>
          <w:lang w:val="en-AU"/>
        </w:rPr>
        <w:t>particular examples</w:t>
      </w:r>
      <w:proofErr w:type="gramEnd"/>
      <w:r w:rsidR="00302612">
        <w:rPr>
          <w:rFonts w:ascii="Calibri" w:hAnsi="Calibri" w:cs="Calibri"/>
          <w:sz w:val="20"/>
          <w:szCs w:val="20"/>
          <w:lang w:val="en-AU"/>
        </w:rPr>
        <w:t xml:space="preserve"> of drugs that</w:t>
      </w:r>
      <w:r w:rsidR="00951FF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require </w:t>
      </w:r>
      <w:r w:rsidR="00302612">
        <w:rPr>
          <w:rFonts w:ascii="Calibri" w:hAnsi="Calibri" w:cs="Calibri"/>
          <w:sz w:val="20"/>
          <w:szCs w:val="20"/>
          <w:lang w:val="en-AU"/>
        </w:rPr>
        <w:t>estimation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of metabolic </w:t>
      </w:r>
      <w:r w:rsidR="00302612">
        <w:rPr>
          <w:rFonts w:ascii="Calibri" w:hAnsi="Calibri" w:cs="Calibri"/>
          <w:sz w:val="20"/>
          <w:szCs w:val="20"/>
          <w:lang w:val="en-AU"/>
        </w:rPr>
        <w:t>clearance before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initiation</w:t>
      </w:r>
      <w:r w:rsidR="00B94F11">
        <w:rPr>
          <w:rFonts w:ascii="Calibri" w:hAnsi="Calibri" w:cs="Calibri"/>
          <w:sz w:val="20"/>
          <w:szCs w:val="20"/>
          <w:lang w:val="en-AU"/>
        </w:rPr>
        <w:t xml:space="preserve"> of therapy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02612">
        <w:rPr>
          <w:rFonts w:ascii="Calibri" w:hAnsi="Calibri" w:cs="Calibri"/>
          <w:sz w:val="20"/>
          <w:szCs w:val="20"/>
          <w:lang w:val="en-AU"/>
        </w:rPr>
        <w:t xml:space="preserve">Dose selection for thiopurines </w:t>
      </w:r>
      <w:r w:rsidR="00FB5EB4">
        <w:rPr>
          <w:rFonts w:ascii="Calibri" w:hAnsi="Calibri" w:cs="Calibri"/>
          <w:sz w:val="20"/>
          <w:szCs w:val="20"/>
          <w:lang w:val="en-AU"/>
        </w:rPr>
        <w:t>at our centre has long rested on the</w:t>
      </w:r>
      <w:r w:rsidR="003026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three </w:t>
      </w:r>
      <w:r w:rsidR="00302612">
        <w:rPr>
          <w:rFonts w:ascii="Calibri" w:hAnsi="Calibri" w:cs="Calibri"/>
          <w:sz w:val="20"/>
          <w:szCs w:val="20"/>
          <w:lang w:val="en-AU"/>
        </w:rPr>
        <w:t xml:space="preserve">therapeutic 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pillars 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733C7C">
        <w:rPr>
          <w:rFonts w:ascii="Calibri" w:hAnsi="Calibri" w:cs="Calibri"/>
          <w:sz w:val="20"/>
          <w:szCs w:val="20"/>
          <w:lang w:val="en-AU"/>
        </w:rPr>
        <w:t>phenotype, genotype and TDM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33C7C">
        <w:rPr>
          <w:rFonts w:ascii="Calibri" w:hAnsi="Calibri" w:cs="Calibri"/>
          <w:sz w:val="20"/>
          <w:szCs w:val="20"/>
          <w:lang w:val="en-AU"/>
        </w:rPr>
        <w:t>More recently</w:t>
      </w:r>
      <w:r w:rsidR="00951FF8">
        <w:rPr>
          <w:rFonts w:ascii="Calibri" w:hAnsi="Calibri" w:cs="Calibri"/>
          <w:sz w:val="20"/>
          <w:szCs w:val="20"/>
          <w:lang w:val="en-AU"/>
        </w:rPr>
        <w:t>,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we have </w:t>
      </w:r>
      <w:r w:rsidR="00FB5EB4">
        <w:rPr>
          <w:rFonts w:ascii="Calibri" w:hAnsi="Calibri" w:cs="Calibri"/>
          <w:sz w:val="20"/>
          <w:szCs w:val="20"/>
          <w:lang w:val="en-AU"/>
        </w:rPr>
        <w:t>established DP</w:t>
      </w:r>
      <w:r w:rsidR="00B94F11">
        <w:rPr>
          <w:rFonts w:ascii="Calibri" w:hAnsi="Calibri" w:cs="Calibri"/>
          <w:sz w:val="20"/>
          <w:szCs w:val="20"/>
          <w:lang w:val="en-AU"/>
        </w:rPr>
        <w:t>D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 phenotyping and 5</w:t>
      </w:r>
      <w:r w:rsidR="004B38D9">
        <w:rPr>
          <w:rFonts w:ascii="Calibri" w:hAnsi="Calibri" w:cs="Calibri"/>
          <w:sz w:val="20"/>
          <w:szCs w:val="20"/>
          <w:lang w:val="en-AU"/>
        </w:rPr>
        <w:t>-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FU TDM to extend the </w:t>
      </w:r>
      <w:r w:rsidR="004B38D9">
        <w:rPr>
          <w:rFonts w:ascii="Calibri" w:hAnsi="Calibri" w:cs="Calibri"/>
          <w:sz w:val="20"/>
          <w:szCs w:val="20"/>
          <w:lang w:val="en-AU"/>
        </w:rPr>
        <w:t>three-pillar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 concept to </w:t>
      </w:r>
      <w:r w:rsidR="00733C7C">
        <w:rPr>
          <w:rFonts w:ascii="Calibri" w:hAnsi="Calibri" w:cs="Calibri"/>
          <w:sz w:val="20"/>
          <w:szCs w:val="20"/>
          <w:lang w:val="en-AU"/>
        </w:rPr>
        <w:t>f</w:t>
      </w:r>
      <w:r w:rsidR="00733C7C" w:rsidRPr="00733C7C">
        <w:rPr>
          <w:rFonts w:ascii="Calibri" w:hAnsi="Calibri" w:cs="Calibri"/>
          <w:sz w:val="20"/>
          <w:szCs w:val="20"/>
          <w:lang w:val="en-AU"/>
        </w:rPr>
        <w:t>luoropyrimidine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drugs, where dosing </w:t>
      </w:r>
      <w:r w:rsidR="00B20087">
        <w:rPr>
          <w:rFonts w:ascii="Calibri" w:hAnsi="Calibri" w:cs="Calibri"/>
          <w:sz w:val="20"/>
          <w:szCs w:val="20"/>
          <w:lang w:val="en-AU"/>
        </w:rPr>
        <w:t xml:space="preserve">guidance </w:t>
      </w:r>
      <w:r w:rsidR="00FB5EB4">
        <w:rPr>
          <w:rFonts w:ascii="Calibri" w:hAnsi="Calibri" w:cs="Calibri"/>
          <w:sz w:val="20"/>
          <w:szCs w:val="20"/>
          <w:lang w:val="en-AU"/>
        </w:rPr>
        <w:t>ha</w:t>
      </w:r>
      <w:r w:rsidR="00B20087">
        <w:rPr>
          <w:rFonts w:ascii="Calibri" w:hAnsi="Calibri" w:cs="Calibri"/>
          <w:sz w:val="20"/>
          <w:szCs w:val="20"/>
          <w:lang w:val="en-AU"/>
        </w:rPr>
        <w:t>s</w:t>
      </w:r>
      <w:r w:rsidR="00FB5EB4">
        <w:rPr>
          <w:rFonts w:ascii="Calibri" w:hAnsi="Calibri" w:cs="Calibri"/>
          <w:sz w:val="20"/>
          <w:szCs w:val="20"/>
          <w:lang w:val="en-AU"/>
        </w:rPr>
        <w:t xml:space="preserve"> typically been heavily influenced by genotype</w:t>
      </w:r>
      <w:r w:rsidR="00951FF8">
        <w:rPr>
          <w:rFonts w:ascii="Calibri" w:hAnsi="Calibri" w:cs="Calibri"/>
          <w:sz w:val="20"/>
          <w:szCs w:val="20"/>
          <w:lang w:val="en-AU"/>
        </w:rPr>
        <w:t xml:space="preserve"> alone</w:t>
      </w:r>
      <w:r w:rsidR="00FB5EB4">
        <w:rPr>
          <w:rFonts w:ascii="Calibri" w:hAnsi="Calibri" w:cs="Calibri"/>
          <w:sz w:val="20"/>
          <w:szCs w:val="20"/>
          <w:lang w:val="en-AU"/>
        </w:rPr>
        <w:t>.</w:t>
      </w:r>
    </w:p>
    <w:p w14:paraId="71B582CB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374F2" w:rsidRPr="000374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74F2">
        <w:rPr>
          <w:rFonts w:ascii="Calibri" w:hAnsi="Calibri" w:cs="Calibri"/>
          <w:sz w:val="20"/>
          <w:szCs w:val="20"/>
          <w:lang w:val="en-AU"/>
        </w:rPr>
        <w:t>Review the utilisation and results of a DPD phenotype and 5</w:t>
      </w:r>
      <w:r w:rsidR="004B38D9">
        <w:rPr>
          <w:rFonts w:ascii="Calibri" w:hAnsi="Calibri" w:cs="Calibri"/>
          <w:sz w:val="20"/>
          <w:szCs w:val="20"/>
          <w:lang w:val="en-AU"/>
        </w:rPr>
        <w:t>-</w:t>
      </w:r>
      <w:r w:rsidR="000374F2">
        <w:rPr>
          <w:rFonts w:ascii="Calibri" w:hAnsi="Calibri" w:cs="Calibri"/>
          <w:sz w:val="20"/>
          <w:szCs w:val="20"/>
          <w:lang w:val="en-AU"/>
        </w:rPr>
        <w:t xml:space="preserve">FU TDM service after implementation, to supplement DPYD genotyping alone, </w:t>
      </w:r>
      <w:r w:rsidR="00951FF8">
        <w:rPr>
          <w:rFonts w:ascii="Calibri" w:hAnsi="Calibri" w:cs="Calibri"/>
          <w:sz w:val="20"/>
          <w:szCs w:val="20"/>
          <w:lang w:val="en-AU"/>
        </w:rPr>
        <w:t>to optimise fluoropyrimidine dosing.</w:t>
      </w:r>
    </w:p>
    <w:p w14:paraId="5B679DEE" w14:textId="6EE0326F" w:rsidR="00711813" w:rsidRPr="004E5450" w:rsidRDefault="0074421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3CCBA6" wp14:editId="29FBACE9">
            <wp:simplePos x="0" y="0"/>
            <wp:positionH relativeFrom="column">
              <wp:posOffset>3039745</wp:posOffset>
            </wp:positionH>
            <wp:positionV relativeFrom="paragraph">
              <wp:posOffset>26670</wp:posOffset>
            </wp:positionV>
            <wp:extent cx="3105150" cy="1757680"/>
            <wp:effectExtent l="19050" t="19050" r="0" b="0"/>
            <wp:wrapTight wrapText="bothSides">
              <wp:wrapPolygon edited="0">
                <wp:start x="-133" y="-234"/>
                <wp:lineTo x="-133" y="21538"/>
                <wp:lineTo x="21600" y="21538"/>
                <wp:lineTo x="21600" y="-234"/>
                <wp:lineTo x="-133" y="-234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576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33C7C">
        <w:rPr>
          <w:rFonts w:ascii="Calibri" w:hAnsi="Calibri" w:cs="Calibri"/>
          <w:sz w:val="20"/>
          <w:szCs w:val="20"/>
          <w:lang w:val="en-AU"/>
        </w:rPr>
        <w:t>DPD phenotype</w:t>
      </w:r>
      <w:r w:rsidR="004F1657">
        <w:rPr>
          <w:rFonts w:ascii="Calibri" w:hAnsi="Calibri" w:cs="Calibri"/>
          <w:sz w:val="20"/>
          <w:szCs w:val="20"/>
          <w:lang w:val="en-AU"/>
        </w:rPr>
        <w:t>, determined from</w:t>
      </w:r>
      <w:r w:rsidR="00951FF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1657" w:rsidRPr="004F1657">
        <w:rPr>
          <w:rFonts w:ascii="Calibri" w:hAnsi="Calibri" w:cs="Calibri"/>
          <w:sz w:val="20"/>
          <w:szCs w:val="20"/>
        </w:rPr>
        <w:t xml:space="preserve">pretherapeutic plasma </w:t>
      </w:r>
      <w:r w:rsidR="000374F2">
        <w:rPr>
          <w:rFonts w:ascii="Calibri" w:hAnsi="Calibri" w:cs="Calibri"/>
          <w:sz w:val="20"/>
          <w:szCs w:val="20"/>
        </w:rPr>
        <w:t xml:space="preserve">uracil level </w:t>
      </w:r>
      <w:r w:rsidR="00313FDD">
        <w:rPr>
          <w:rFonts w:ascii="Calibri" w:hAnsi="Calibri" w:cs="Calibri"/>
          <w:sz w:val="20"/>
          <w:szCs w:val="20"/>
        </w:rPr>
        <w:t>(LC/MS),</w:t>
      </w:r>
      <w:r w:rsidR="00733C7C">
        <w:rPr>
          <w:rFonts w:ascii="Calibri" w:hAnsi="Calibri" w:cs="Calibri"/>
          <w:sz w:val="20"/>
          <w:szCs w:val="20"/>
          <w:lang w:val="en-AU"/>
        </w:rPr>
        <w:t xml:space="preserve"> 5-FU TDM </w:t>
      </w:r>
      <w:r w:rsidR="00313FDD">
        <w:rPr>
          <w:rFonts w:ascii="Calibri" w:hAnsi="Calibri" w:cs="Calibri"/>
          <w:sz w:val="20"/>
          <w:szCs w:val="20"/>
          <w:lang w:val="en-AU"/>
        </w:rPr>
        <w:t xml:space="preserve">(LC/MS) and genotyping. </w:t>
      </w:r>
    </w:p>
    <w:p w14:paraId="31229ACA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51C1">
        <w:rPr>
          <w:rFonts w:ascii="Calibri" w:hAnsi="Calibri" w:cs="Calibri"/>
          <w:sz w:val="20"/>
          <w:szCs w:val="20"/>
          <w:lang w:val="en-AU"/>
        </w:rPr>
        <w:t>Results of p</w:t>
      </w:r>
      <w:r w:rsidR="00313FDD">
        <w:rPr>
          <w:rFonts w:ascii="Calibri" w:hAnsi="Calibri" w:cs="Calibri"/>
          <w:sz w:val="20"/>
          <w:szCs w:val="20"/>
          <w:lang w:val="en-AU"/>
        </w:rPr>
        <w:t xml:space="preserve">henotype, </w:t>
      </w:r>
      <w:r w:rsidR="00A05434">
        <w:rPr>
          <w:rFonts w:ascii="Calibri" w:hAnsi="Calibri" w:cs="Calibri"/>
          <w:sz w:val="20"/>
          <w:szCs w:val="20"/>
          <w:lang w:val="en-AU"/>
        </w:rPr>
        <w:t xml:space="preserve">5-FU </w:t>
      </w:r>
      <w:r w:rsidR="00313FDD">
        <w:rPr>
          <w:rFonts w:ascii="Calibri" w:hAnsi="Calibri" w:cs="Calibri"/>
          <w:sz w:val="20"/>
          <w:szCs w:val="20"/>
          <w:lang w:val="en-AU"/>
        </w:rPr>
        <w:t>TDM</w:t>
      </w:r>
      <w:r w:rsidR="00A05434">
        <w:rPr>
          <w:rFonts w:ascii="Calibri" w:hAnsi="Calibri" w:cs="Calibri"/>
          <w:sz w:val="20"/>
          <w:szCs w:val="20"/>
          <w:lang w:val="en-AU"/>
        </w:rPr>
        <w:t>, and DPYD genotype (where available)</w:t>
      </w:r>
      <w:r w:rsidR="009851C1">
        <w:rPr>
          <w:rFonts w:ascii="Calibri" w:hAnsi="Calibri" w:cs="Calibri"/>
          <w:sz w:val="20"/>
          <w:szCs w:val="20"/>
          <w:lang w:val="en-AU"/>
        </w:rPr>
        <w:t>,</w:t>
      </w:r>
      <w:r w:rsidR="007579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3FDD">
        <w:rPr>
          <w:rFonts w:ascii="Calibri" w:hAnsi="Calibri" w:cs="Calibri"/>
          <w:sz w:val="20"/>
          <w:szCs w:val="20"/>
          <w:lang w:val="en-AU"/>
        </w:rPr>
        <w:t>accrued during the first 6 months of the service are summarised and examined for distributions and correlations between the three sources of dosage guidance.</w:t>
      </w:r>
    </w:p>
    <w:p w14:paraId="1798FD5E" w14:textId="77777777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0EB2">
        <w:rPr>
          <w:rFonts w:ascii="Calibri" w:hAnsi="Calibri" w:cs="Calibri"/>
          <w:sz w:val="20"/>
          <w:szCs w:val="20"/>
          <w:lang w:val="en-AU"/>
        </w:rPr>
        <w:t xml:space="preserve">The results of this audit inform ongoing local </w:t>
      </w:r>
      <w:r w:rsidR="00F71712">
        <w:rPr>
          <w:rFonts w:ascii="Calibri" w:hAnsi="Calibri" w:cs="Calibri"/>
          <w:sz w:val="20"/>
          <w:szCs w:val="20"/>
          <w:lang w:val="en-AU"/>
        </w:rPr>
        <w:t xml:space="preserve">practice </w:t>
      </w:r>
      <w:r w:rsidR="00002E5A">
        <w:rPr>
          <w:rFonts w:ascii="Calibri" w:hAnsi="Calibri" w:cs="Calibri"/>
          <w:sz w:val="20"/>
          <w:szCs w:val="20"/>
          <w:lang w:val="en-AU"/>
        </w:rPr>
        <w:t xml:space="preserve">and offer a first evaluation of </w:t>
      </w:r>
      <w:r w:rsidR="00951FF8">
        <w:rPr>
          <w:rFonts w:ascii="Calibri" w:hAnsi="Calibri" w:cs="Calibri"/>
          <w:sz w:val="20"/>
          <w:szCs w:val="20"/>
          <w:lang w:val="en-AU"/>
        </w:rPr>
        <w:t>the</w:t>
      </w:r>
      <w:r w:rsidR="00B00EB2">
        <w:rPr>
          <w:rFonts w:ascii="Calibri" w:hAnsi="Calibri" w:cs="Calibri"/>
          <w:sz w:val="20"/>
          <w:szCs w:val="20"/>
          <w:lang w:val="en-AU"/>
        </w:rPr>
        <w:t xml:space="preserve"> three</w:t>
      </w:r>
      <w:r w:rsidR="00002E5A">
        <w:rPr>
          <w:rFonts w:ascii="Calibri" w:hAnsi="Calibri" w:cs="Calibri"/>
          <w:sz w:val="20"/>
          <w:szCs w:val="20"/>
          <w:lang w:val="en-AU"/>
        </w:rPr>
        <w:t>-</w:t>
      </w:r>
      <w:r w:rsidR="00B00EB2">
        <w:rPr>
          <w:rFonts w:ascii="Calibri" w:hAnsi="Calibri" w:cs="Calibri"/>
          <w:sz w:val="20"/>
          <w:szCs w:val="20"/>
          <w:lang w:val="en-AU"/>
        </w:rPr>
        <w:t xml:space="preserve">pillar dosing </w:t>
      </w:r>
      <w:r w:rsidR="00951FF8">
        <w:rPr>
          <w:rFonts w:ascii="Calibri" w:hAnsi="Calibri" w:cs="Calibri"/>
          <w:sz w:val="20"/>
          <w:szCs w:val="20"/>
          <w:lang w:val="en-AU"/>
        </w:rPr>
        <w:t xml:space="preserve">approach </w:t>
      </w:r>
      <w:r w:rsidR="00B00EB2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313FDD">
        <w:rPr>
          <w:rFonts w:ascii="Calibri" w:hAnsi="Calibri" w:cs="Calibri"/>
          <w:sz w:val="20"/>
          <w:szCs w:val="20"/>
          <w:lang w:val="en-AU"/>
        </w:rPr>
        <w:t>fluoropyrimidines</w:t>
      </w:r>
      <w:r w:rsidR="00B00EB2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F71712">
        <w:rPr>
          <w:rFonts w:ascii="Calibri" w:hAnsi="Calibri" w:cs="Calibri"/>
          <w:sz w:val="20"/>
          <w:szCs w:val="20"/>
          <w:lang w:val="en-AU"/>
        </w:rPr>
        <w:t>practice in Australia.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BE4"/>
    <w:rsid w:val="00002E5A"/>
    <w:rsid w:val="000374F2"/>
    <w:rsid w:val="000A4FA6"/>
    <w:rsid w:val="00157222"/>
    <w:rsid w:val="00192E55"/>
    <w:rsid w:val="00204C98"/>
    <w:rsid w:val="002226BB"/>
    <w:rsid w:val="002272B0"/>
    <w:rsid w:val="00300B92"/>
    <w:rsid w:val="00302612"/>
    <w:rsid w:val="00313FDD"/>
    <w:rsid w:val="003238D9"/>
    <w:rsid w:val="003713A4"/>
    <w:rsid w:val="00387491"/>
    <w:rsid w:val="00444224"/>
    <w:rsid w:val="00483B05"/>
    <w:rsid w:val="004B38D9"/>
    <w:rsid w:val="004E28B9"/>
    <w:rsid w:val="004E50FC"/>
    <w:rsid w:val="004E5450"/>
    <w:rsid w:val="004F1657"/>
    <w:rsid w:val="0059609A"/>
    <w:rsid w:val="00597659"/>
    <w:rsid w:val="005D1700"/>
    <w:rsid w:val="005E48A2"/>
    <w:rsid w:val="005E62BE"/>
    <w:rsid w:val="00711813"/>
    <w:rsid w:val="00724E3C"/>
    <w:rsid w:val="00733C7C"/>
    <w:rsid w:val="00743C46"/>
    <w:rsid w:val="00744214"/>
    <w:rsid w:val="0075799E"/>
    <w:rsid w:val="00760B17"/>
    <w:rsid w:val="00792C5E"/>
    <w:rsid w:val="00876044"/>
    <w:rsid w:val="00885303"/>
    <w:rsid w:val="008909C9"/>
    <w:rsid w:val="00947B77"/>
    <w:rsid w:val="00951FF8"/>
    <w:rsid w:val="00974D98"/>
    <w:rsid w:val="009851C1"/>
    <w:rsid w:val="009E2228"/>
    <w:rsid w:val="009F06D6"/>
    <w:rsid w:val="00A05434"/>
    <w:rsid w:val="00A266B4"/>
    <w:rsid w:val="00A71DEF"/>
    <w:rsid w:val="00AD3779"/>
    <w:rsid w:val="00AE2DA6"/>
    <w:rsid w:val="00B00EB2"/>
    <w:rsid w:val="00B20087"/>
    <w:rsid w:val="00B5014E"/>
    <w:rsid w:val="00B83E61"/>
    <w:rsid w:val="00B94F11"/>
    <w:rsid w:val="00BC5FCC"/>
    <w:rsid w:val="00BF762B"/>
    <w:rsid w:val="00C132EC"/>
    <w:rsid w:val="00C60A71"/>
    <w:rsid w:val="00D55F3B"/>
    <w:rsid w:val="00DA2731"/>
    <w:rsid w:val="00DE2C7B"/>
    <w:rsid w:val="00E16AF8"/>
    <w:rsid w:val="00EF12F3"/>
    <w:rsid w:val="00F02477"/>
    <w:rsid w:val="00F71712"/>
    <w:rsid w:val="00F90F73"/>
    <w:rsid w:val="00F97620"/>
    <w:rsid w:val="00FB5EB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61DE1"/>
  <w15:chartTrackingRefBased/>
  <w15:docId w15:val="{0BABB752-3162-4557-BBA2-74BA4065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B0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9F89A-1657-4AED-9D72-213F3167710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Clarke, Lauren</cp:lastModifiedBy>
  <cp:revision>2</cp:revision>
  <cp:lastPrinted>2013-06-13T07:15:00Z</cp:lastPrinted>
  <dcterms:created xsi:type="dcterms:W3CDTF">2025-09-15T05:19:00Z</dcterms:created>
  <dcterms:modified xsi:type="dcterms:W3CDTF">2025-09-15T05:19:00Z</dcterms:modified>
</cp:coreProperties>
</file>