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772C6693" w:rsidR="00711813" w:rsidRPr="00835787" w:rsidRDefault="00835787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CO</w:t>
      </w:r>
      <w:r w:rsidRPr="00BE4580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>
        <w:rPr>
          <w:rFonts w:ascii="Calibri" w:hAnsi="Calibri" w:cs="Calibri"/>
          <w:b/>
          <w:sz w:val="28"/>
          <w:szCs w:val="28"/>
          <w:vertAlign w:val="subscript"/>
          <w:lang w:val="en-AU"/>
        </w:rPr>
        <w:t xml:space="preserve"> </w:t>
      </w:r>
      <w:r w:rsidR="00393A02">
        <w:rPr>
          <w:rFonts w:ascii="Calibri" w:hAnsi="Calibri" w:cs="Calibri"/>
          <w:b/>
          <w:sz w:val="28"/>
          <w:szCs w:val="28"/>
          <w:lang w:val="en-AU"/>
        </w:rPr>
        <w:t>e</w:t>
      </w:r>
      <w:r w:rsidR="005E04B3">
        <w:rPr>
          <w:rFonts w:ascii="Calibri" w:hAnsi="Calibri" w:cs="Calibri"/>
          <w:b/>
          <w:sz w:val="28"/>
          <w:szCs w:val="28"/>
          <w:lang w:val="en-AU"/>
        </w:rPr>
        <w:t xml:space="preserve">lectrolysis in </w:t>
      </w:r>
      <w:r w:rsidR="00393A02">
        <w:rPr>
          <w:rFonts w:ascii="Calibri" w:hAnsi="Calibri" w:cs="Calibri"/>
          <w:b/>
          <w:sz w:val="28"/>
          <w:szCs w:val="28"/>
          <w:lang w:val="en-AU"/>
        </w:rPr>
        <w:t>s</w:t>
      </w:r>
      <w:r w:rsidR="005E04B3">
        <w:rPr>
          <w:rFonts w:ascii="Calibri" w:hAnsi="Calibri" w:cs="Calibri"/>
          <w:b/>
          <w:sz w:val="28"/>
          <w:szCs w:val="28"/>
          <w:lang w:val="en-AU"/>
        </w:rPr>
        <w:t>eawater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 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FA0069B" w:rsidR="00DF1C8E" w:rsidRPr="005F19FF" w:rsidRDefault="00DD5EBC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Chong-Yong </w:t>
      </w:r>
      <w:proofErr w:type="spellStart"/>
      <w:r>
        <w:rPr>
          <w:rFonts w:ascii="Calibri" w:hAnsi="Calibri" w:cs="Calibri"/>
          <w:i/>
          <w:lang w:val="en-AU"/>
        </w:rPr>
        <w:t>Lee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Gordon G </w:t>
      </w:r>
      <w:proofErr w:type="spellStart"/>
      <w:r>
        <w:rPr>
          <w:rFonts w:ascii="Calibri" w:hAnsi="Calibri" w:cs="Calibri"/>
          <w:i/>
          <w:lang w:val="en-AU"/>
        </w:rPr>
        <w:t>Walla</w:t>
      </w:r>
      <w:r w:rsidR="00F3239A">
        <w:rPr>
          <w:rFonts w:ascii="Calibri" w:hAnsi="Calibri" w:cs="Calibri"/>
          <w:i/>
          <w:lang w:val="en-AU"/>
        </w:rPr>
        <w:t>ce</w:t>
      </w:r>
      <w:r w:rsidR="00F3239A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05E17889" w14:textId="064B69D1" w:rsidR="00711813" w:rsidRPr="004260AC" w:rsidRDefault="005F19FF" w:rsidP="004260AC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B72F78">
        <w:rPr>
          <w:rFonts w:ascii="Calibri" w:hAnsi="Calibri" w:cs="Calibri"/>
          <w:sz w:val="22"/>
          <w:szCs w:val="22"/>
          <w:lang w:val="en-AU"/>
        </w:rPr>
        <w:t>ARC Centre of Ex</w:t>
      </w:r>
      <w:bookmarkStart w:id="0" w:name="_GoBack"/>
      <w:bookmarkEnd w:id="0"/>
      <w:r w:rsidR="00B72F78">
        <w:rPr>
          <w:rFonts w:ascii="Calibri" w:hAnsi="Calibri" w:cs="Calibri"/>
          <w:sz w:val="22"/>
          <w:szCs w:val="22"/>
          <w:lang w:val="en-AU"/>
        </w:rPr>
        <w:t xml:space="preserve">cellence for </w:t>
      </w:r>
      <w:proofErr w:type="spellStart"/>
      <w:r w:rsidR="00B72F78">
        <w:rPr>
          <w:rFonts w:ascii="Calibri" w:hAnsi="Calibri" w:cs="Calibri"/>
          <w:sz w:val="22"/>
          <w:szCs w:val="22"/>
          <w:lang w:val="en-AU"/>
        </w:rPr>
        <w:t>Electromaterials</w:t>
      </w:r>
      <w:proofErr w:type="spellEnd"/>
      <w:r w:rsidR="00B72F78">
        <w:rPr>
          <w:rFonts w:ascii="Calibri" w:hAnsi="Calibri" w:cs="Calibri"/>
          <w:sz w:val="22"/>
          <w:szCs w:val="22"/>
          <w:lang w:val="en-AU"/>
        </w:rPr>
        <w:t xml:space="preserve"> Science, Intelligent Polymer Research Institute, AIIM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B72F78">
        <w:rPr>
          <w:rFonts w:ascii="Calibri" w:hAnsi="Calibri" w:cs="Calibri"/>
          <w:sz w:val="22"/>
          <w:szCs w:val="22"/>
          <w:lang w:val="en-AU"/>
        </w:rPr>
        <w:t>Innovation Campus, University of Wollongong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B72F78">
        <w:rPr>
          <w:rFonts w:ascii="Calibri" w:hAnsi="Calibri" w:cs="Calibri"/>
          <w:sz w:val="22"/>
          <w:szCs w:val="22"/>
          <w:lang w:val="en-AU"/>
        </w:rPr>
        <w:t>Wollongong, NSW 2500,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666D74A1" w14:textId="74FA80F6" w:rsidR="00B72F78" w:rsidRDefault="00B72F78" w:rsidP="004260AC">
      <w:pPr>
        <w:jc w:val="center"/>
        <w:rPr>
          <w:rFonts w:asciiTheme="minorHAnsi" w:hAnsiTheme="minorHAnsi" w:cstheme="minorHAnsi"/>
          <w:sz w:val="22"/>
          <w:szCs w:val="22"/>
        </w:rPr>
      </w:pPr>
      <w:r w:rsidRPr="00B72F78">
        <w:rPr>
          <w:rFonts w:asciiTheme="minorHAnsi" w:hAnsiTheme="minorHAnsi" w:cstheme="minorHAnsi"/>
          <w:sz w:val="22"/>
          <w:szCs w:val="22"/>
        </w:rPr>
        <w:t>Email: cylee</w:t>
      </w:r>
      <w:hyperlink r:id="rId5" w:history="1">
        <w:r w:rsidRPr="00B72F78">
          <w:rPr>
            <w:rStyle w:val="Hyperlink"/>
            <w:rFonts w:asciiTheme="minorHAnsi" w:hAnsiTheme="minorHAnsi" w:cstheme="minorHAnsi"/>
            <w:sz w:val="22"/>
            <w:szCs w:val="22"/>
          </w:rPr>
          <w:t>@uow.edu.au</w:t>
        </w:r>
      </w:hyperlink>
      <w:r w:rsidRPr="00B72F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25600" w14:textId="77777777" w:rsidR="004260AC" w:rsidRPr="004260AC" w:rsidRDefault="004260AC" w:rsidP="004260A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A264D7" w14:textId="77777777" w:rsidR="00F20613" w:rsidRPr="008B6BF3" w:rsidRDefault="00F20613" w:rsidP="00F20613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</w:p>
    <w:p w14:paraId="46037CA6" w14:textId="77777777" w:rsidR="00F20613" w:rsidRPr="004260AC" w:rsidRDefault="00F20613" w:rsidP="00F20613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260AC">
        <w:rPr>
          <w:rFonts w:asciiTheme="minorHAnsi" w:hAnsiTheme="minorHAnsi" w:cstheme="minorHAnsi"/>
          <w:sz w:val="22"/>
          <w:szCs w:val="22"/>
        </w:rPr>
        <w:t>Oceans are the largest reservoir of carbon on earth. A large portion of anthropogenic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>, dissolves in the seawater and converted in equilibrium between hydrogen carbonate and carbonate ions.</w:t>
      </w:r>
      <w:r w:rsidRPr="004260A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260AC">
        <w:rPr>
          <w:rFonts w:asciiTheme="minorHAnsi" w:hAnsiTheme="minorHAnsi" w:cstheme="minorHAnsi"/>
          <w:sz w:val="22"/>
          <w:szCs w:val="22"/>
        </w:rPr>
        <w:t xml:space="preserve"> Seawater which consisting of ~ 97 % of available water in our planet is naturally abundant and conductive, an attractive electrolyte for electrochemical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reduction technology. </w:t>
      </w:r>
      <w:r w:rsidRPr="004260AC">
        <w:rPr>
          <w:rFonts w:asciiTheme="minorHAnsi" w:hAnsiTheme="minorHAnsi" w:cstheme="minorHAnsi"/>
          <w:color w:val="111111"/>
          <w:sz w:val="22"/>
          <w:szCs w:val="22"/>
        </w:rPr>
        <w:t>However, composition of seawater is inherently complex, containing multiple cations and anions that may participate in CO</w:t>
      </w:r>
      <w:r w:rsidRPr="004260AC">
        <w:rPr>
          <w:rFonts w:asciiTheme="minorHAnsi" w:hAnsiTheme="minorHAnsi" w:cstheme="minorHAnsi"/>
          <w:color w:val="111111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color w:val="111111"/>
          <w:sz w:val="22"/>
          <w:szCs w:val="22"/>
        </w:rPr>
        <w:t xml:space="preserve"> electroreduction reaction.</w:t>
      </w:r>
      <w:r w:rsidRPr="004260AC">
        <w:rPr>
          <w:rFonts w:asciiTheme="minorHAnsi" w:hAnsiTheme="minorHAnsi" w:cstheme="minorHAnsi"/>
          <w:color w:val="111111"/>
          <w:sz w:val="22"/>
          <w:szCs w:val="22"/>
          <w:vertAlign w:val="super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Our investigation shows that the calcification, as naturally occurred process in oceanic calcifying organisms, is affecting the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electroreduction performance.</w:t>
      </w:r>
      <w:r w:rsidRPr="004260A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260AC">
        <w:rPr>
          <w:rFonts w:asciiTheme="minorHAnsi" w:hAnsiTheme="minorHAnsi" w:cstheme="minorHAnsi"/>
          <w:sz w:val="22"/>
          <w:szCs w:val="22"/>
        </w:rPr>
        <w:t xml:space="preserve"> Under the applied cathodic potential and in the presence of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, calcium ions in the seawater resulting in calcium carbonate deposition onto the </w:t>
      </w:r>
      <w:proofErr w:type="spellStart"/>
      <w:r w:rsidRPr="004260AC">
        <w:rPr>
          <w:rFonts w:asciiTheme="minorHAnsi" w:hAnsiTheme="minorHAnsi" w:cstheme="minorHAnsi"/>
          <w:sz w:val="22"/>
          <w:szCs w:val="22"/>
        </w:rPr>
        <w:t>nanoporous</w:t>
      </w:r>
      <w:proofErr w:type="spellEnd"/>
      <w:r w:rsidRPr="004260AC">
        <w:rPr>
          <w:rFonts w:asciiTheme="minorHAnsi" w:hAnsiTheme="minorHAnsi" w:cstheme="minorHAnsi"/>
          <w:sz w:val="22"/>
          <w:szCs w:val="22"/>
        </w:rPr>
        <w:t xml:space="preserve"> Ag,</w:t>
      </w:r>
      <w:r w:rsidRPr="004260AC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4260AC">
        <w:rPr>
          <w:rFonts w:asciiTheme="minorHAnsi" w:hAnsiTheme="minorHAnsi" w:cstheme="minorHAnsi"/>
          <w:sz w:val="22"/>
          <w:szCs w:val="22"/>
        </w:rPr>
        <w:t xml:space="preserve"> reducing active sites for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electroreduction. Mitigation from calcification would promote a stable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electrolysis in seawater. Electrochemical storage and conversion technologies have been evolved to meet specific demands of wide-ranging end-users. A self-powered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electrolysis would facilitate a simplified and portable ad-hoc carbon-based fuel generation system, meeting circumstances such as inaccessibility to an external electricity source. We demonstrate a first proof-of-concept self-powered hybrid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electrolysis by the coupling of a Mg anode to a </w:t>
      </w:r>
      <w:proofErr w:type="spellStart"/>
      <w:r w:rsidRPr="004260AC">
        <w:rPr>
          <w:rFonts w:asciiTheme="minorHAnsi" w:hAnsiTheme="minorHAnsi" w:cstheme="minorHAnsi"/>
          <w:sz w:val="22"/>
          <w:szCs w:val="22"/>
        </w:rPr>
        <w:t>nanoporous</w:t>
      </w:r>
      <w:proofErr w:type="spellEnd"/>
      <w:r w:rsidRPr="004260AC">
        <w:rPr>
          <w:rFonts w:asciiTheme="minorHAnsi" w:hAnsiTheme="minorHAnsi" w:cstheme="minorHAnsi"/>
          <w:sz w:val="22"/>
          <w:szCs w:val="22"/>
        </w:rPr>
        <w:t xml:space="preserve"> Ag cathode in 0.6 M NaCl or seawater. A spontaneous oxidation of a Mg alloy at anode driving cathodic reduction of AgCl to </w:t>
      </w:r>
      <w:proofErr w:type="spellStart"/>
      <w:r w:rsidRPr="004260AC">
        <w:rPr>
          <w:rFonts w:asciiTheme="minorHAnsi" w:hAnsiTheme="minorHAnsi" w:cstheme="minorHAnsi"/>
          <w:sz w:val="22"/>
          <w:szCs w:val="22"/>
        </w:rPr>
        <w:t>nanoporous</w:t>
      </w:r>
      <w:proofErr w:type="spellEnd"/>
      <w:r w:rsidRPr="004260AC">
        <w:rPr>
          <w:rFonts w:asciiTheme="minorHAnsi" w:hAnsiTheme="minorHAnsi" w:cstheme="minorHAnsi"/>
          <w:sz w:val="22"/>
          <w:szCs w:val="22"/>
        </w:rPr>
        <w:t xml:space="preserve"> Ag, which electrocatalytically reduces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to CO. In conclusion, strategies to overcome calcification such as removal of calcium from the seawater, and development of anti-calcifying electrocatalyst could promote practicability of seawater as an electrolyte in CO</w:t>
      </w:r>
      <w:r w:rsidRPr="004260A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4260AC">
        <w:rPr>
          <w:rFonts w:asciiTheme="minorHAnsi" w:hAnsiTheme="minorHAnsi" w:cstheme="minorHAnsi"/>
          <w:sz w:val="22"/>
          <w:szCs w:val="22"/>
        </w:rPr>
        <w:t xml:space="preserve"> electroreduction technology.</w:t>
      </w:r>
    </w:p>
    <w:p w14:paraId="0ED1BF67" w14:textId="11169398" w:rsidR="00F20613" w:rsidRDefault="00F20613" w:rsidP="00F20613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</w:p>
    <w:p w14:paraId="1AAD74AE" w14:textId="3F9992F7" w:rsidR="005717BA" w:rsidRPr="007D568D" w:rsidRDefault="00F3239A" w:rsidP="007D568D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textAlignment w:val="base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414CD4" wp14:editId="143C93D8">
                <wp:simplePos x="0" y="0"/>
                <wp:positionH relativeFrom="margin">
                  <wp:posOffset>2695575</wp:posOffset>
                </wp:positionH>
                <wp:positionV relativeFrom="paragraph">
                  <wp:posOffset>1425575</wp:posOffset>
                </wp:positionV>
                <wp:extent cx="3298825" cy="6889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3D6E" w14:textId="41AA6E40" w:rsidR="007D568D" w:rsidRPr="00C75DAD" w:rsidRDefault="00F3239A" w:rsidP="007D568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SimSun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Figure 1   </w:t>
                            </w:r>
                            <w:r w:rsidR="007D568D" w:rsidRPr="00AF0A75">
                              <w:rPr>
                                <w:rFonts w:asciiTheme="minorHAnsi" w:eastAsia="SimSun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Schematic illustration of the interactions of dissolved ions in salt water (a) and seawater (b), under CO</w:t>
                            </w:r>
                            <w:r w:rsidR="007D568D" w:rsidRPr="00AF0A75">
                              <w:rPr>
                                <w:rFonts w:asciiTheme="minorHAnsi" w:eastAsia="SimSun" w:hAnsiTheme="minorHAnsi" w:cstheme="minorHAnsi"/>
                                <w:color w:val="000000" w:themeColor="text1"/>
                                <w:kern w:val="24"/>
                                <w:position w:val="-10"/>
                                <w:sz w:val="22"/>
                                <w:szCs w:val="22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="007D568D" w:rsidRPr="00AF0A75">
                              <w:rPr>
                                <w:rFonts w:asciiTheme="minorHAnsi" w:eastAsia="SimSun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purging and an applied cathodic</w:t>
                            </w:r>
                          </w:p>
                          <w:p w14:paraId="6ACE72BC" w14:textId="77777777" w:rsidR="007D568D" w:rsidRPr="004F28C4" w:rsidRDefault="007D568D" w:rsidP="007D568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14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112.25pt;width:259.75pt;height:5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C4HgIAABsEAAAOAAAAZHJzL2Uyb0RvYy54bWysU9tu2zAMfR+wfxD0vjjJktYx4hRdugwD&#10;ugvQ7gNoWY6FSaInKbG7ry8lp2mwvQ3TgyCK5NHhIbW+GYxmR+m8Qlvy2WTKmbQCa2X3Jf/xuHuX&#10;c+YD2Bo0WlnyJ+n5zebtm3XfFXKOLepaOkYg1hd9V/I2hK7IMi9aacBPsJOWnA06A4FMt89qBz2h&#10;G53Np9OrrEdXdw6F9J5u70Yn3yT8ppEifGsaLwPTJSduIe0u7VXcs80air2DrlXiRAP+gYUBZenR&#10;M9QdBGAHp/6CMko49NiEiUCTYdMoIVMNVM1s+kc1Dy10MtVC4vjuLJP/f7Di6/G7Y6qm3nFmwVCL&#10;HuUQ2Acc2Dyq03e+oKCHjsLCQNcxMlbqu3sUPz2zuG3B7uWtc9i3EmpiN4uZ2UXqiOMjSNV/wZqe&#10;gUPABDQ0zkRAEoMROnXp6dyZSEXQ5fv5Ks/nS84E+a7yfHW9TE9A8ZLdOR8+STQsHkruqPMJHY73&#10;PkQ2ULyEJPaoVb1TWifD7autduwINCW7tE7o/jJMW9aXfLUkHjHLYsxPA2RUoCnWypQ8n8YV06GI&#10;any0dToHUHo8ExNtT/JERUZtwlANFBg1q7B+IqEcjtNKv4sOLbrfnPU0qSX3vw7gJGf6syWxV7PF&#10;Io52MhbL6zkZ7tJTXXrACoIqeeBsPG5D+g5jRbfUlEYlvV6ZnLjSBCYZT78ljvilnaJe//TmGQAA&#10;//8DAFBLAwQUAAYACAAAACEA5OaFaN8AAAALAQAADwAAAGRycy9kb3ducmV2LnhtbEyPwU7DMAyG&#10;70i8Q2QkLoiltNnGSt0JkEBcN/YAbuO1FU1SNdnavT2BC9xs+dPv7y+2s+nFmUffOYvwsEhAsK2d&#10;7myDcPh8u38E4QNZTb2zjHBhD9vy+qqgXLvJ7vi8D42IIdbnhNCGMORS+rplQ37hBrbxdnSjoRDX&#10;sZF6pCmGm16mSbKShjobP7Q08GvL9df+ZBCOH9PdcjNV7+Gw3qnVC3Xryl0Qb2/m5ycQgefwB8OP&#10;flSHMjpV7mS1Fz2CStUyogjp7xCJjVKxXYWQZVkCsizk/w7lNwAAAP//AwBQSwECLQAUAAYACAAA&#10;ACEAtoM4kv4AAADhAQAAEwAAAAAAAAAAAAAAAAAAAAAAW0NvbnRlbnRfVHlwZXNdLnhtbFBLAQIt&#10;ABQABgAIAAAAIQA4/SH/1gAAAJQBAAALAAAAAAAAAAAAAAAAAC8BAABfcmVscy8ucmVsc1BLAQIt&#10;ABQABgAIAAAAIQDJL7C4HgIAABsEAAAOAAAAAAAAAAAAAAAAAC4CAABkcnMvZTJvRG9jLnhtbFBL&#10;AQItABQABgAIAAAAIQDk5oVo3wAAAAsBAAAPAAAAAAAAAAAAAAAAAHgEAABkcnMvZG93bnJldi54&#10;bWxQSwUGAAAAAAQABADzAAAAhAUAAAAA&#10;" stroked="f">
                <v:textbox>
                  <w:txbxContent>
                    <w:p w14:paraId="3DF13D6E" w14:textId="41AA6E40" w:rsidR="007D568D" w:rsidRPr="00C75DAD" w:rsidRDefault="00F3239A" w:rsidP="007D568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SimSun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Figure 1   </w:t>
                      </w:r>
                      <w:r w:rsidR="007D568D" w:rsidRPr="00AF0A75">
                        <w:rPr>
                          <w:rFonts w:asciiTheme="minorHAnsi" w:eastAsia="SimSun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Schematic illustration of the interactions of dissolved ions in salt water (a) and seawater (b), under CO</w:t>
                      </w:r>
                      <w:r w:rsidR="007D568D" w:rsidRPr="00AF0A75">
                        <w:rPr>
                          <w:rFonts w:asciiTheme="minorHAnsi" w:eastAsia="SimSun" w:hAnsiTheme="minorHAnsi" w:cstheme="minorHAnsi"/>
                          <w:color w:val="000000" w:themeColor="text1"/>
                          <w:kern w:val="24"/>
                          <w:position w:val="-10"/>
                          <w:sz w:val="22"/>
                          <w:szCs w:val="22"/>
                          <w:vertAlign w:val="subscript"/>
                          <w:lang w:val="en-GB"/>
                        </w:rPr>
                        <w:t>2</w:t>
                      </w:r>
                      <w:r w:rsidR="007D568D" w:rsidRPr="00AF0A75">
                        <w:rPr>
                          <w:rFonts w:asciiTheme="minorHAnsi" w:eastAsia="SimSun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purging and an applied cathodic</w:t>
                      </w:r>
                    </w:p>
                    <w:p w14:paraId="6ACE72BC" w14:textId="77777777" w:rsidR="007D568D" w:rsidRPr="004F28C4" w:rsidRDefault="007D568D" w:rsidP="007D568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68D">
        <w:t xml:space="preserve">           </w:t>
      </w:r>
      <w:r w:rsidR="004F28C4">
        <w:rPr>
          <w:noProof/>
        </w:rPr>
        <w:drawing>
          <wp:inline distT="0" distB="0" distL="0" distR="0" wp14:anchorId="4E1762BA" wp14:editId="2F0C3165">
            <wp:extent cx="2548186" cy="1867848"/>
            <wp:effectExtent l="0" t="0" r="5080" b="0"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6"/>
                    <a:stretch/>
                  </pic:blipFill>
                  <pic:spPr bwMode="auto">
                    <a:xfrm>
                      <a:off x="0" y="0"/>
                      <a:ext cx="2548186" cy="186784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7BA">
        <w:t xml:space="preserve">   </w:t>
      </w:r>
      <w:r w:rsidR="001D2C11">
        <w:t xml:space="preserve">     </w:t>
      </w:r>
      <w:r w:rsidR="007D568D">
        <w:t xml:space="preserve">        </w:t>
      </w:r>
      <w:r w:rsidR="005717BA">
        <w:t xml:space="preserve">       </w:t>
      </w:r>
    </w:p>
    <w:p w14:paraId="55DCC188" w14:textId="6C78335A" w:rsidR="005717BA" w:rsidRPr="00F3239A" w:rsidRDefault="00AF0A75" w:rsidP="00F3239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0A75">
        <w:rPr>
          <w:rFonts w:asciiTheme="minorHAnsi" w:eastAsia="SimSun" w:hAnsiTheme="minorHAnsi" w:cstheme="minorHAnsi"/>
          <w:color w:val="000000" w:themeColor="text1"/>
          <w:kern w:val="24"/>
          <w:sz w:val="22"/>
          <w:szCs w:val="22"/>
          <w:lang w:val="en-GB"/>
        </w:rPr>
        <w:t xml:space="preserve"> </w:t>
      </w:r>
    </w:p>
    <w:p w14:paraId="66BEB9F8" w14:textId="77777777" w:rsidR="007D568D" w:rsidRDefault="007D568D" w:rsidP="00A76411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2950FF1" w14:textId="66690A58" w:rsidR="00A76411" w:rsidRDefault="00F20613" w:rsidP="00355FCB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260AC">
        <w:rPr>
          <w:rFonts w:asciiTheme="minorHAnsi" w:hAnsiTheme="minorHAnsi" w:cstheme="minorHAnsi"/>
          <w:b/>
          <w:sz w:val="22"/>
          <w:szCs w:val="22"/>
        </w:rPr>
        <w:t xml:space="preserve">References: </w:t>
      </w:r>
    </w:p>
    <w:p w14:paraId="3E67D267" w14:textId="00394A07" w:rsidR="00C93A8F" w:rsidRPr="00A76411" w:rsidRDefault="00A76411" w:rsidP="00355FCB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76411">
        <w:rPr>
          <w:rFonts w:asciiTheme="minorHAnsi" w:hAnsiTheme="minorHAnsi" w:cstheme="minorHAnsi"/>
          <w:bCs/>
          <w:sz w:val="22"/>
          <w:szCs w:val="22"/>
        </w:rPr>
        <w:t xml:space="preserve">1. </w:t>
      </w:r>
      <w:proofErr w:type="spellStart"/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>Caldeira</w:t>
      </w:r>
      <w:proofErr w:type="spellEnd"/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, </w:t>
      </w:r>
      <w:r w:rsidR="00EB24E5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K. &amp; </w:t>
      </w:r>
      <w:proofErr w:type="spellStart"/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>Wickett</w:t>
      </w:r>
      <w:proofErr w:type="spellEnd"/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>,</w:t>
      </w:r>
      <w:r w:rsidR="00EB24E5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 M. E. (2003).  </w:t>
      </w:r>
      <w:r w:rsidR="00EF7175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Anthropogenic carbon and ocean pH, </w:t>
      </w:r>
      <w:r w:rsidR="00F20613" w:rsidRPr="00A76411">
        <w:rPr>
          <w:rFonts w:asciiTheme="minorHAnsi" w:eastAsia="SimSun" w:hAnsiTheme="minorHAnsi" w:cstheme="minorHAnsi"/>
          <w:iCs/>
          <w:w w:val="105"/>
          <w:sz w:val="22"/>
          <w:szCs w:val="22"/>
          <w:lang w:val="en"/>
        </w:rPr>
        <w:t>Nature,</w:t>
      </w:r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 </w:t>
      </w:r>
      <w:r w:rsidR="00F20613" w:rsidRPr="00A76411">
        <w:rPr>
          <w:rFonts w:asciiTheme="minorHAnsi" w:eastAsia="SimSun" w:hAnsiTheme="minorHAnsi" w:cstheme="minorHAnsi"/>
          <w:iCs/>
          <w:w w:val="105"/>
          <w:sz w:val="22"/>
          <w:szCs w:val="22"/>
          <w:lang w:val="en"/>
        </w:rPr>
        <w:t>425,</w:t>
      </w:r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 365.</w:t>
      </w:r>
    </w:p>
    <w:p w14:paraId="2576002B" w14:textId="4E793FC5" w:rsidR="00EF7175" w:rsidRPr="00A76411" w:rsidRDefault="00A76411" w:rsidP="00355FCB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SimSun" w:hAnsiTheme="minorHAnsi" w:cstheme="minorHAnsi"/>
          <w:w w:val="105"/>
          <w:sz w:val="22"/>
          <w:szCs w:val="22"/>
          <w:lang w:val="en"/>
        </w:rPr>
      </w:pPr>
      <w:r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2. </w:t>
      </w:r>
      <w:proofErr w:type="gramStart"/>
      <w:r w:rsidR="00F20613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>M .</w:t>
      </w:r>
      <w:proofErr w:type="gramEnd"/>
      <w:r w:rsidR="00F20613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E. Q. </w:t>
      </w:r>
      <w:proofErr w:type="spellStart"/>
      <w:r w:rsidR="00F20613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>Pilson</w:t>
      </w:r>
      <w:proofErr w:type="spellEnd"/>
      <w:r w:rsidR="00F20613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>, 1998, An introduction to the chemistry of the sea</w:t>
      </w:r>
      <w:r w:rsidR="00F20613" w:rsidRPr="00A76411">
        <w:rPr>
          <w:rFonts w:asciiTheme="minorHAnsi" w:eastAsia="DengXian" w:hAnsiTheme="minorHAnsi" w:cstheme="minorHAnsi"/>
          <w:i/>
          <w:iCs/>
          <w:sz w:val="22"/>
          <w:szCs w:val="22"/>
          <w:lang w:val="en" w:eastAsia="zh-CN"/>
        </w:rPr>
        <w:t xml:space="preserve">, </w:t>
      </w:r>
      <w:r w:rsidR="00F20613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>Prentice Hall,</w:t>
      </w:r>
      <w:r w:rsidR="00F20613" w:rsidRPr="00A76411">
        <w:rPr>
          <w:rFonts w:asciiTheme="minorHAnsi" w:eastAsia="DengXian" w:hAnsiTheme="minorHAnsi" w:cstheme="minorHAnsi"/>
          <w:i/>
          <w:iCs/>
          <w:sz w:val="22"/>
          <w:szCs w:val="22"/>
          <w:lang w:val="en" w:eastAsia="zh-CN"/>
        </w:rPr>
        <w:t xml:space="preserve"> </w:t>
      </w:r>
      <w:r w:rsidR="00F20613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N. J. </w:t>
      </w:r>
    </w:p>
    <w:p w14:paraId="7CC7D1F6" w14:textId="51D7DBD2" w:rsidR="00FD1386" w:rsidRDefault="00A76411" w:rsidP="00355FCB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SimSun" w:hAnsiTheme="minorHAnsi" w:cstheme="minorHAnsi"/>
          <w:bCs/>
          <w:sz w:val="22"/>
          <w:szCs w:val="22"/>
        </w:rPr>
      </w:pPr>
      <w:r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3. </w:t>
      </w:r>
      <w:r w:rsidR="00EF7175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Lee, </w:t>
      </w:r>
      <w:r w:rsidR="00C93A8F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C.-Y. &amp; </w:t>
      </w:r>
      <w:r w:rsidR="00EF7175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>G. G. Wallace</w:t>
      </w:r>
      <w:r w:rsidR="00C93A8F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 (2018)</w:t>
      </w:r>
      <w:r w:rsidR="00EF7175" w:rsidRPr="00A76411">
        <w:rPr>
          <w:rFonts w:asciiTheme="minorHAnsi" w:eastAsia="DengXian" w:hAnsiTheme="minorHAnsi" w:cstheme="minorHAnsi"/>
          <w:iCs/>
          <w:sz w:val="22"/>
          <w:szCs w:val="22"/>
          <w:lang w:val="en" w:eastAsia="zh-CN"/>
        </w:rPr>
        <w:t xml:space="preserve"> </w:t>
      </w:r>
      <w:r w:rsidR="00EF7175" w:rsidRPr="00A76411">
        <w:rPr>
          <w:rFonts w:asciiTheme="minorHAnsi" w:hAnsiTheme="minorHAnsi" w:cstheme="minorHAnsi"/>
          <w:spacing w:val="-5"/>
          <w:sz w:val="22"/>
          <w:szCs w:val="22"/>
          <w:lang w:val="en-AU" w:eastAsia="zh-CN"/>
        </w:rPr>
        <w:t>CO</w:t>
      </w:r>
      <w:r w:rsidR="00EF7175" w:rsidRPr="00A76411">
        <w:rPr>
          <w:rFonts w:asciiTheme="minorHAnsi" w:hAnsiTheme="minorHAnsi" w:cstheme="minorHAnsi"/>
          <w:spacing w:val="-5"/>
          <w:sz w:val="22"/>
          <w:szCs w:val="22"/>
          <w:vertAlign w:val="subscript"/>
          <w:lang w:val="en-AU" w:eastAsia="zh-CN"/>
        </w:rPr>
        <w:t>2</w:t>
      </w:r>
      <w:r w:rsidR="00EF7175" w:rsidRPr="00A76411">
        <w:rPr>
          <w:rFonts w:asciiTheme="minorHAnsi" w:hAnsiTheme="minorHAnsi" w:cstheme="minorHAnsi"/>
          <w:spacing w:val="-5"/>
          <w:sz w:val="22"/>
          <w:szCs w:val="22"/>
          <w:lang w:val="en-AU" w:eastAsia="zh-CN"/>
        </w:rPr>
        <w:t xml:space="preserve"> electrolysis in seawater: calcification effect and a hybrid self-powered concept, </w:t>
      </w:r>
      <w:r w:rsidR="00EF7175" w:rsidRPr="00A76411">
        <w:rPr>
          <w:rFonts w:asciiTheme="minorHAnsi" w:eastAsia="SimSun" w:hAnsiTheme="minorHAnsi" w:cstheme="minorHAnsi"/>
          <w:bCs/>
          <w:spacing w:val="-5"/>
          <w:w w:val="105"/>
          <w:sz w:val="22"/>
          <w:szCs w:val="22"/>
          <w:lang w:val="en-GB"/>
        </w:rPr>
        <w:t>J. Mater. Chem. A</w:t>
      </w:r>
      <w:r w:rsidR="00EF7175" w:rsidRPr="00A76411">
        <w:rPr>
          <w:rFonts w:asciiTheme="minorHAnsi" w:eastAsia="SimSun" w:hAnsiTheme="minorHAnsi" w:cstheme="minorHAnsi"/>
          <w:spacing w:val="-5"/>
          <w:w w:val="105"/>
          <w:sz w:val="22"/>
          <w:szCs w:val="22"/>
          <w:lang w:val="en-GB"/>
        </w:rPr>
        <w:t xml:space="preserve">, </w:t>
      </w:r>
      <w:r w:rsidR="00EF7175" w:rsidRPr="00A76411">
        <w:rPr>
          <w:rFonts w:asciiTheme="minorHAnsi" w:eastAsia="SimSun" w:hAnsiTheme="minorHAnsi" w:cstheme="minorHAnsi"/>
          <w:bCs/>
          <w:spacing w:val="-5"/>
          <w:w w:val="105"/>
          <w:sz w:val="22"/>
          <w:szCs w:val="22"/>
          <w:lang w:val="en-GB"/>
        </w:rPr>
        <w:t>6</w:t>
      </w:r>
      <w:r w:rsidR="00EF7175" w:rsidRPr="00A76411">
        <w:rPr>
          <w:rFonts w:asciiTheme="minorHAnsi" w:eastAsia="SimSun" w:hAnsiTheme="minorHAnsi" w:cstheme="minorHAnsi"/>
          <w:spacing w:val="-5"/>
          <w:w w:val="105"/>
          <w:sz w:val="22"/>
          <w:szCs w:val="22"/>
          <w:lang w:val="en-GB"/>
        </w:rPr>
        <w:t>, 23301.</w:t>
      </w:r>
      <w:r w:rsidR="00EF7175" w:rsidRPr="00A76411">
        <w:rPr>
          <w:rFonts w:asciiTheme="minorHAnsi" w:eastAsia="SimSun" w:hAnsiTheme="minorHAnsi" w:cstheme="minorHAnsi"/>
          <w:bCs/>
          <w:sz w:val="22"/>
          <w:szCs w:val="22"/>
        </w:rPr>
        <w:t xml:space="preserve"> </w:t>
      </w:r>
    </w:p>
    <w:p w14:paraId="41460BAE" w14:textId="01A52EFF" w:rsidR="00F20613" w:rsidRPr="00A76411" w:rsidRDefault="00A76411" w:rsidP="00355FCB">
      <w:pPr>
        <w:rPr>
          <w:rFonts w:asciiTheme="minorHAnsi" w:eastAsiaTheme="majorEastAsia" w:hAnsiTheme="minorHAnsi" w:cstheme="minorHAnsi"/>
          <w:sz w:val="22"/>
          <w:szCs w:val="22"/>
          <w:lang w:val="en-AU"/>
        </w:rPr>
      </w:pPr>
      <w:r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 xml:space="preserve">4. </w:t>
      </w:r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>C.</w:t>
      </w:r>
      <w:r w:rsidR="004260AC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>-</w:t>
      </w:r>
      <w:r w:rsidR="00F20613" w:rsidRPr="00A76411">
        <w:rPr>
          <w:rFonts w:asciiTheme="minorHAnsi" w:eastAsia="SimSun" w:hAnsiTheme="minorHAnsi" w:cstheme="minorHAnsi"/>
          <w:w w:val="105"/>
          <w:sz w:val="22"/>
          <w:szCs w:val="22"/>
          <w:lang w:val="en"/>
        </w:rPr>
        <w:t>Y. Lee,</w:t>
      </w:r>
      <w:r w:rsidR="00F20613" w:rsidRPr="00A76411">
        <w:rPr>
          <w:rFonts w:asciiTheme="minorHAnsi" w:eastAsia="SimSun" w:hAnsiTheme="minorHAnsi" w:cstheme="minorHAnsi"/>
          <w:bCs/>
          <w:sz w:val="22"/>
          <w:szCs w:val="22"/>
          <w:lang w:val="en"/>
        </w:rPr>
        <w:t xml:space="preserve"> </w:t>
      </w:r>
      <w:r w:rsidR="00F20613" w:rsidRPr="00A76411">
        <w:rPr>
          <w:rFonts w:asciiTheme="minorHAnsi" w:eastAsia="SimSun" w:hAnsiTheme="minorHAnsi" w:cstheme="minorHAnsi"/>
          <w:bCs/>
          <w:sz w:val="22"/>
          <w:szCs w:val="22"/>
        </w:rPr>
        <w:t>Y. Zhao, C. Wang, D. R. G. Mitchell, G. G. Wallace</w:t>
      </w:r>
      <w:r w:rsidR="00C93A8F" w:rsidRPr="00A76411">
        <w:rPr>
          <w:rFonts w:asciiTheme="minorHAnsi" w:eastAsia="SimSun" w:hAnsiTheme="minorHAnsi" w:cstheme="minorHAnsi"/>
          <w:bCs/>
          <w:sz w:val="22"/>
          <w:szCs w:val="22"/>
        </w:rPr>
        <w:t xml:space="preserve"> (2017)</w:t>
      </w:r>
      <w:r w:rsidR="00F20613" w:rsidRPr="00A76411">
        <w:rPr>
          <w:rFonts w:asciiTheme="minorHAnsi" w:eastAsia="SimSun" w:hAnsiTheme="minorHAnsi" w:cstheme="minorHAnsi"/>
          <w:bCs/>
          <w:sz w:val="22"/>
          <w:szCs w:val="22"/>
        </w:rPr>
        <w:t xml:space="preserve">, </w:t>
      </w:r>
      <w:r w:rsidR="00095087" w:rsidRPr="00A76411">
        <w:rPr>
          <w:rFonts w:asciiTheme="minorHAnsi" w:eastAsiaTheme="majorEastAsia" w:hAnsiTheme="minorHAnsi" w:cstheme="minorHAnsi"/>
          <w:spacing w:val="-5"/>
          <w:sz w:val="22"/>
          <w:szCs w:val="22"/>
          <w:shd w:val="clear" w:color="auto" w:fill="FFFFFF"/>
        </w:rPr>
        <w:t>Rapid formation of self-</w:t>
      </w:r>
      <w:proofErr w:type="spellStart"/>
      <w:r w:rsidR="00095087" w:rsidRPr="00A76411">
        <w:rPr>
          <w:rFonts w:asciiTheme="minorHAnsi" w:eastAsiaTheme="majorEastAsia" w:hAnsiTheme="minorHAnsi" w:cstheme="minorHAnsi"/>
          <w:spacing w:val="-5"/>
          <w:sz w:val="22"/>
          <w:szCs w:val="22"/>
          <w:shd w:val="clear" w:color="auto" w:fill="FFFFFF"/>
        </w:rPr>
        <w:t>organised</w:t>
      </w:r>
      <w:proofErr w:type="spellEnd"/>
      <w:r w:rsidR="00095087" w:rsidRPr="00A76411">
        <w:rPr>
          <w:rFonts w:asciiTheme="minorHAnsi" w:eastAsiaTheme="majorEastAsia" w:hAnsiTheme="minorHAnsi" w:cstheme="minorHAnsi"/>
          <w:spacing w:val="-5"/>
          <w:sz w:val="22"/>
          <w:szCs w:val="22"/>
          <w:shd w:val="clear" w:color="auto" w:fill="FFFFFF"/>
        </w:rPr>
        <w:t xml:space="preserve"> Ag nanosheets with high efficiency and selectivity in CO</w:t>
      </w:r>
      <w:r w:rsidR="00095087" w:rsidRPr="00A76411">
        <w:rPr>
          <w:rFonts w:asciiTheme="minorHAnsi" w:eastAsiaTheme="majorEastAsia" w:hAnsiTheme="minorHAnsi" w:cstheme="minorHAnsi"/>
          <w:spacing w:val="-7"/>
          <w:sz w:val="22"/>
          <w:szCs w:val="22"/>
          <w:vertAlign w:val="subscript"/>
        </w:rPr>
        <w:t>2</w:t>
      </w:r>
      <w:r w:rsidR="00095087" w:rsidRPr="00A76411">
        <w:rPr>
          <w:rFonts w:asciiTheme="minorHAnsi" w:eastAsiaTheme="majorEastAsia" w:hAnsiTheme="minorHAnsi" w:cstheme="minorHAnsi"/>
          <w:spacing w:val="-5"/>
          <w:sz w:val="22"/>
          <w:szCs w:val="22"/>
          <w:shd w:val="clear" w:color="auto" w:fill="FFFFFF"/>
        </w:rPr>
        <w:t xml:space="preserve"> electroreduction to CO</w:t>
      </w:r>
      <w:r w:rsidR="00FE4ADB">
        <w:rPr>
          <w:rFonts w:asciiTheme="minorHAnsi" w:eastAsiaTheme="majorEastAsia" w:hAnsiTheme="minorHAnsi" w:cstheme="minorHAnsi"/>
          <w:spacing w:val="-5"/>
          <w:sz w:val="22"/>
          <w:szCs w:val="22"/>
          <w:shd w:val="clear" w:color="auto" w:fill="FFFFFF"/>
        </w:rPr>
        <w:t>,</w:t>
      </w:r>
      <w:r w:rsidR="00C93A8F" w:rsidRPr="00FE4ADB">
        <w:rPr>
          <w:rFonts w:asciiTheme="minorHAnsi" w:eastAsiaTheme="majorEastAsia" w:hAnsiTheme="minorHAnsi" w:cstheme="minorHAnsi"/>
          <w:iCs/>
          <w:sz w:val="22"/>
          <w:szCs w:val="22"/>
          <w:lang w:val="en-AU"/>
        </w:rPr>
        <w:t xml:space="preserve"> </w:t>
      </w:r>
      <w:r w:rsidR="00F20613" w:rsidRPr="00FE4ADB">
        <w:rPr>
          <w:rFonts w:asciiTheme="minorHAnsi" w:eastAsia="SimSun" w:hAnsiTheme="minorHAnsi" w:cstheme="minorHAnsi"/>
          <w:bCs/>
          <w:iCs/>
          <w:sz w:val="22"/>
          <w:szCs w:val="22"/>
        </w:rPr>
        <w:t>Sustainable Energy Fuels</w:t>
      </w:r>
      <w:r w:rsidR="00F20613" w:rsidRPr="00FE4ADB">
        <w:rPr>
          <w:rFonts w:asciiTheme="minorHAnsi" w:eastAsia="SimSun" w:hAnsiTheme="minorHAnsi" w:cstheme="minorHAnsi"/>
          <w:bCs/>
          <w:iCs/>
          <w:sz w:val="22"/>
          <w:szCs w:val="22"/>
          <w:lang w:val="en"/>
        </w:rPr>
        <w:t xml:space="preserve">, </w:t>
      </w:r>
      <w:r w:rsidR="00F20613" w:rsidRPr="00A76411">
        <w:rPr>
          <w:rFonts w:asciiTheme="minorHAnsi" w:hAnsiTheme="minorHAnsi" w:cstheme="minorHAnsi"/>
          <w:bCs/>
          <w:sz w:val="22"/>
          <w:szCs w:val="22"/>
          <w:lang w:val="en" w:eastAsia="zh-CN"/>
        </w:rPr>
        <w:t>1</w:t>
      </w:r>
      <w:r w:rsidR="00F20613" w:rsidRPr="00A76411">
        <w:rPr>
          <w:rFonts w:asciiTheme="minorHAnsi" w:hAnsiTheme="minorHAnsi" w:cstheme="minorHAnsi"/>
          <w:sz w:val="22"/>
          <w:szCs w:val="22"/>
          <w:lang w:val="en" w:eastAsia="zh-CN"/>
        </w:rPr>
        <w:t>, 1023.</w:t>
      </w:r>
    </w:p>
    <w:p w14:paraId="734471FB" w14:textId="77777777" w:rsidR="00641190" w:rsidRPr="00FE4ADB" w:rsidRDefault="00641190" w:rsidP="00711813">
      <w:pPr>
        <w:jc w:val="both"/>
        <w:rPr>
          <w:rFonts w:ascii="Calibri" w:hAnsi="Calibri" w:cs="Calibri"/>
          <w:sz w:val="22"/>
          <w:szCs w:val="22"/>
          <w:lang w:val="en"/>
        </w:rPr>
      </w:pP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463"/>
    <w:multiLevelType w:val="hybridMultilevel"/>
    <w:tmpl w:val="4A3C300A"/>
    <w:lvl w:ilvl="0" w:tplc="A3C41934">
      <w:start w:val="2"/>
      <w:numFmt w:val="decimal"/>
      <w:lvlText w:val="%1."/>
      <w:lvlJc w:val="left"/>
      <w:pPr>
        <w:ind w:left="720" w:hanging="360"/>
      </w:pPr>
      <w:rPr>
        <w:rFonts w:eastAsia="DengXi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37D6"/>
    <w:multiLevelType w:val="hybridMultilevel"/>
    <w:tmpl w:val="83CEE730"/>
    <w:lvl w:ilvl="0" w:tplc="F77615A8">
      <w:start w:val="1"/>
      <w:numFmt w:val="decimal"/>
      <w:lvlText w:val="%1."/>
      <w:lvlJc w:val="left"/>
      <w:pPr>
        <w:ind w:left="1770" w:hanging="360"/>
      </w:pPr>
      <w:rPr>
        <w:rFonts w:asciiTheme="minorHAnsi" w:eastAsia="SimSu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46D9"/>
    <w:multiLevelType w:val="hybridMultilevel"/>
    <w:tmpl w:val="E4E26D1C"/>
    <w:lvl w:ilvl="0" w:tplc="158036A0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w w:val="10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375D"/>
    <w:multiLevelType w:val="hybridMultilevel"/>
    <w:tmpl w:val="1A1C16CC"/>
    <w:lvl w:ilvl="0" w:tplc="0C09000F">
      <w:start w:val="1"/>
      <w:numFmt w:val="decimal"/>
      <w:lvlText w:val="%1."/>
      <w:lvlJc w:val="left"/>
      <w:pPr>
        <w:ind w:left="1770" w:hanging="360"/>
      </w:pPr>
    </w:lvl>
    <w:lvl w:ilvl="1" w:tplc="0C090019">
      <w:start w:val="1"/>
      <w:numFmt w:val="lowerLetter"/>
      <w:lvlText w:val="%2."/>
      <w:lvlJc w:val="left"/>
      <w:pPr>
        <w:ind w:left="2490" w:hanging="360"/>
      </w:pPr>
    </w:lvl>
    <w:lvl w:ilvl="2" w:tplc="0C09001B" w:tentative="1">
      <w:start w:val="1"/>
      <w:numFmt w:val="lowerRoman"/>
      <w:lvlText w:val="%3."/>
      <w:lvlJc w:val="right"/>
      <w:pPr>
        <w:ind w:left="3210" w:hanging="180"/>
      </w:pPr>
    </w:lvl>
    <w:lvl w:ilvl="3" w:tplc="0C09000F" w:tentative="1">
      <w:start w:val="1"/>
      <w:numFmt w:val="decimal"/>
      <w:lvlText w:val="%4."/>
      <w:lvlJc w:val="left"/>
      <w:pPr>
        <w:ind w:left="3930" w:hanging="360"/>
      </w:pPr>
    </w:lvl>
    <w:lvl w:ilvl="4" w:tplc="0C090019" w:tentative="1">
      <w:start w:val="1"/>
      <w:numFmt w:val="lowerLetter"/>
      <w:lvlText w:val="%5."/>
      <w:lvlJc w:val="left"/>
      <w:pPr>
        <w:ind w:left="4650" w:hanging="360"/>
      </w:pPr>
    </w:lvl>
    <w:lvl w:ilvl="5" w:tplc="0C09001B" w:tentative="1">
      <w:start w:val="1"/>
      <w:numFmt w:val="lowerRoman"/>
      <w:lvlText w:val="%6."/>
      <w:lvlJc w:val="right"/>
      <w:pPr>
        <w:ind w:left="5370" w:hanging="180"/>
      </w:pPr>
    </w:lvl>
    <w:lvl w:ilvl="6" w:tplc="0C09000F" w:tentative="1">
      <w:start w:val="1"/>
      <w:numFmt w:val="decimal"/>
      <w:lvlText w:val="%7."/>
      <w:lvlJc w:val="left"/>
      <w:pPr>
        <w:ind w:left="6090" w:hanging="360"/>
      </w:pPr>
    </w:lvl>
    <w:lvl w:ilvl="7" w:tplc="0C090019" w:tentative="1">
      <w:start w:val="1"/>
      <w:numFmt w:val="lowerLetter"/>
      <w:lvlText w:val="%8."/>
      <w:lvlJc w:val="left"/>
      <w:pPr>
        <w:ind w:left="6810" w:hanging="360"/>
      </w:pPr>
    </w:lvl>
    <w:lvl w:ilvl="8" w:tplc="0C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1CEE"/>
    <w:multiLevelType w:val="hybridMultilevel"/>
    <w:tmpl w:val="95BE1056"/>
    <w:lvl w:ilvl="0" w:tplc="2514BC26">
      <w:start w:val="2"/>
      <w:numFmt w:val="decimal"/>
      <w:lvlText w:val="%1."/>
      <w:lvlJc w:val="left"/>
      <w:pPr>
        <w:ind w:left="720" w:hanging="360"/>
      </w:pPr>
      <w:rPr>
        <w:rFonts w:eastAsia="DengXi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F7389"/>
    <w:multiLevelType w:val="hybridMultilevel"/>
    <w:tmpl w:val="0C80E522"/>
    <w:lvl w:ilvl="0" w:tplc="F77615A8">
      <w:start w:val="1"/>
      <w:numFmt w:val="decimal"/>
      <w:lvlText w:val="%1."/>
      <w:lvlJc w:val="left"/>
      <w:pPr>
        <w:ind w:left="1770" w:hanging="360"/>
      </w:pPr>
      <w:rPr>
        <w:rFonts w:asciiTheme="minorHAnsi" w:eastAsia="SimSun" w:hAnsiTheme="minorHAnsi" w:cstheme="minorHAnsi"/>
      </w:rPr>
    </w:lvl>
    <w:lvl w:ilvl="1" w:tplc="0C090019">
      <w:start w:val="1"/>
      <w:numFmt w:val="lowerLetter"/>
      <w:lvlText w:val="%2."/>
      <w:lvlJc w:val="left"/>
      <w:pPr>
        <w:ind w:left="2490" w:hanging="360"/>
      </w:pPr>
    </w:lvl>
    <w:lvl w:ilvl="2" w:tplc="0C09001B" w:tentative="1">
      <w:start w:val="1"/>
      <w:numFmt w:val="lowerRoman"/>
      <w:lvlText w:val="%3."/>
      <w:lvlJc w:val="right"/>
      <w:pPr>
        <w:ind w:left="3210" w:hanging="180"/>
      </w:pPr>
    </w:lvl>
    <w:lvl w:ilvl="3" w:tplc="0C09000F" w:tentative="1">
      <w:start w:val="1"/>
      <w:numFmt w:val="decimal"/>
      <w:lvlText w:val="%4."/>
      <w:lvlJc w:val="left"/>
      <w:pPr>
        <w:ind w:left="3930" w:hanging="360"/>
      </w:pPr>
    </w:lvl>
    <w:lvl w:ilvl="4" w:tplc="0C090019" w:tentative="1">
      <w:start w:val="1"/>
      <w:numFmt w:val="lowerLetter"/>
      <w:lvlText w:val="%5."/>
      <w:lvlJc w:val="left"/>
      <w:pPr>
        <w:ind w:left="4650" w:hanging="360"/>
      </w:pPr>
    </w:lvl>
    <w:lvl w:ilvl="5" w:tplc="0C09001B" w:tentative="1">
      <w:start w:val="1"/>
      <w:numFmt w:val="lowerRoman"/>
      <w:lvlText w:val="%6."/>
      <w:lvlJc w:val="right"/>
      <w:pPr>
        <w:ind w:left="5370" w:hanging="180"/>
      </w:pPr>
    </w:lvl>
    <w:lvl w:ilvl="6" w:tplc="0C09000F" w:tentative="1">
      <w:start w:val="1"/>
      <w:numFmt w:val="decimal"/>
      <w:lvlText w:val="%7."/>
      <w:lvlJc w:val="left"/>
      <w:pPr>
        <w:ind w:left="6090" w:hanging="360"/>
      </w:pPr>
    </w:lvl>
    <w:lvl w:ilvl="7" w:tplc="0C090019" w:tentative="1">
      <w:start w:val="1"/>
      <w:numFmt w:val="lowerLetter"/>
      <w:lvlText w:val="%8."/>
      <w:lvlJc w:val="left"/>
      <w:pPr>
        <w:ind w:left="6810" w:hanging="360"/>
      </w:pPr>
    </w:lvl>
    <w:lvl w:ilvl="8" w:tplc="0C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E631D9E"/>
    <w:multiLevelType w:val="hybridMultilevel"/>
    <w:tmpl w:val="1BDC106E"/>
    <w:lvl w:ilvl="0" w:tplc="B9C2BFBE">
      <w:start w:val="1"/>
      <w:numFmt w:val="decimal"/>
      <w:lvlText w:val="%1."/>
      <w:lvlJc w:val="left"/>
      <w:pPr>
        <w:ind w:left="1770" w:hanging="360"/>
      </w:pPr>
      <w:rPr>
        <w:rFonts w:asciiTheme="minorHAnsi" w:eastAsia="SimSu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28CA"/>
    <w:multiLevelType w:val="hybridMultilevel"/>
    <w:tmpl w:val="8B781A0E"/>
    <w:lvl w:ilvl="0" w:tplc="7A8CC02A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w w:val="10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53041"/>
    <w:rsid w:val="00095087"/>
    <w:rsid w:val="000A3A7B"/>
    <w:rsid w:val="001A21AD"/>
    <w:rsid w:val="001D2C11"/>
    <w:rsid w:val="002078AD"/>
    <w:rsid w:val="002226BB"/>
    <w:rsid w:val="00225236"/>
    <w:rsid w:val="002272B0"/>
    <w:rsid w:val="00300B92"/>
    <w:rsid w:val="0030585E"/>
    <w:rsid w:val="00355FCB"/>
    <w:rsid w:val="00387491"/>
    <w:rsid w:val="00393A02"/>
    <w:rsid w:val="003D110E"/>
    <w:rsid w:val="004260AC"/>
    <w:rsid w:val="00483B05"/>
    <w:rsid w:val="004E28B9"/>
    <w:rsid w:val="004E5450"/>
    <w:rsid w:val="004F1103"/>
    <w:rsid w:val="004F28C4"/>
    <w:rsid w:val="005263ED"/>
    <w:rsid w:val="005503B7"/>
    <w:rsid w:val="0055229D"/>
    <w:rsid w:val="00562D19"/>
    <w:rsid w:val="005717BA"/>
    <w:rsid w:val="0059609A"/>
    <w:rsid w:val="00597659"/>
    <w:rsid w:val="005E04B3"/>
    <w:rsid w:val="005E48A2"/>
    <w:rsid w:val="005F19FF"/>
    <w:rsid w:val="00641190"/>
    <w:rsid w:val="00645334"/>
    <w:rsid w:val="006B3866"/>
    <w:rsid w:val="006E2C68"/>
    <w:rsid w:val="00711813"/>
    <w:rsid w:val="00724E3C"/>
    <w:rsid w:val="00743C46"/>
    <w:rsid w:val="007D568D"/>
    <w:rsid w:val="00835787"/>
    <w:rsid w:val="008909C9"/>
    <w:rsid w:val="008C7A08"/>
    <w:rsid w:val="00947B77"/>
    <w:rsid w:val="009B2641"/>
    <w:rsid w:val="009E2228"/>
    <w:rsid w:val="009F06D6"/>
    <w:rsid w:val="00A266B4"/>
    <w:rsid w:val="00A76411"/>
    <w:rsid w:val="00AD4378"/>
    <w:rsid w:val="00AF0A75"/>
    <w:rsid w:val="00B72F78"/>
    <w:rsid w:val="00BC5FCC"/>
    <w:rsid w:val="00BE4580"/>
    <w:rsid w:val="00C60A71"/>
    <w:rsid w:val="00C75DAD"/>
    <w:rsid w:val="00C93A8F"/>
    <w:rsid w:val="00CC165A"/>
    <w:rsid w:val="00D55F3B"/>
    <w:rsid w:val="00DA2731"/>
    <w:rsid w:val="00DC0ABB"/>
    <w:rsid w:val="00DD5EBC"/>
    <w:rsid w:val="00DF1C8E"/>
    <w:rsid w:val="00EB24E5"/>
    <w:rsid w:val="00EF12F3"/>
    <w:rsid w:val="00EF7175"/>
    <w:rsid w:val="00F20613"/>
    <w:rsid w:val="00F26BBE"/>
    <w:rsid w:val="00F3239A"/>
    <w:rsid w:val="00F97620"/>
    <w:rsid w:val="00FA3072"/>
    <w:rsid w:val="00FD138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1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F71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DAD"/>
    <w:pPr>
      <w:spacing w:before="100" w:beforeAutospacing="1" w:after="100" w:afterAutospacing="1"/>
    </w:pPr>
    <w:rPr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hoe.tan@an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2784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Chong Yong Lee</cp:lastModifiedBy>
  <cp:revision>33</cp:revision>
  <cp:lastPrinted>2013-06-13T05:15:00Z</cp:lastPrinted>
  <dcterms:created xsi:type="dcterms:W3CDTF">2019-08-17T20:55:00Z</dcterms:created>
  <dcterms:modified xsi:type="dcterms:W3CDTF">2019-08-18T12:44:00Z</dcterms:modified>
</cp:coreProperties>
</file>