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CCA93" w14:textId="33E6516C" w:rsidR="00711813" w:rsidRPr="00DF1C8E" w:rsidRDefault="001F32E1" w:rsidP="00F26BBE">
      <w:pPr>
        <w:jc w:val="center"/>
        <w:rPr>
          <w:rFonts w:ascii="Calibri" w:hAnsi="Calibri" w:cs="Calibri"/>
          <w:b/>
          <w:sz w:val="28"/>
          <w:szCs w:val="28"/>
          <w:lang w:val="en-AU"/>
        </w:rPr>
      </w:pPr>
      <w:r w:rsidRPr="001F32E1">
        <w:rPr>
          <w:rFonts w:ascii="Calibri" w:hAnsi="Calibri" w:cs="Calibri"/>
          <w:b/>
          <w:sz w:val="28"/>
          <w:szCs w:val="28"/>
          <w:lang w:val="en-AU"/>
        </w:rPr>
        <w:t xml:space="preserve">Electrochemical </w:t>
      </w:r>
      <w:r>
        <w:rPr>
          <w:rFonts w:ascii="Calibri" w:hAnsi="Calibri" w:cs="Calibri"/>
          <w:b/>
          <w:sz w:val="28"/>
          <w:szCs w:val="28"/>
          <w:lang w:val="en-AU"/>
        </w:rPr>
        <w:t>Nitrogen Reduction Reaction o</w:t>
      </w:r>
      <w:r w:rsidRPr="001F32E1">
        <w:rPr>
          <w:rFonts w:ascii="Calibri" w:hAnsi="Calibri" w:cs="Calibri"/>
          <w:b/>
          <w:sz w:val="28"/>
          <w:szCs w:val="28"/>
          <w:lang w:val="en-AU"/>
        </w:rPr>
        <w:t>n Two-Dim</w:t>
      </w:r>
      <w:r>
        <w:rPr>
          <w:rFonts w:ascii="Calibri" w:hAnsi="Calibri" w:cs="Calibri"/>
          <w:b/>
          <w:sz w:val="28"/>
          <w:szCs w:val="28"/>
          <w:lang w:val="en-AU"/>
        </w:rPr>
        <w:t>ensional Antimonene Nanosheets f</w:t>
      </w:r>
      <w:r w:rsidRPr="001F32E1">
        <w:rPr>
          <w:rFonts w:ascii="Calibri" w:hAnsi="Calibri" w:cs="Calibri"/>
          <w:b/>
          <w:sz w:val="28"/>
          <w:szCs w:val="28"/>
          <w:lang w:val="en-AU"/>
        </w:rPr>
        <w:t>or Ammonia Synthesis</w:t>
      </w:r>
    </w:p>
    <w:p w14:paraId="57C45AC5" w14:textId="77777777" w:rsidR="00DF1C8E" w:rsidRDefault="00DF1C8E" w:rsidP="00711813">
      <w:pPr>
        <w:jc w:val="both"/>
        <w:rPr>
          <w:rFonts w:ascii="Calibri" w:hAnsi="Calibri" w:cs="Calibri"/>
          <w:sz w:val="20"/>
          <w:szCs w:val="20"/>
          <w:lang w:val="en-AU"/>
        </w:rPr>
      </w:pPr>
    </w:p>
    <w:p w14:paraId="57C998EA" w14:textId="23F44B33" w:rsidR="001F32E1" w:rsidRDefault="001F32E1" w:rsidP="00F26BBE">
      <w:pPr>
        <w:jc w:val="center"/>
        <w:rPr>
          <w:rFonts w:ascii="Calibri" w:hAnsi="Calibri" w:cs="Calibri"/>
          <w:i/>
          <w:lang w:val="en-AU"/>
        </w:rPr>
      </w:pPr>
      <w:r w:rsidRPr="001F32E1">
        <w:rPr>
          <w:rFonts w:ascii="Calibri" w:hAnsi="Calibri" w:cs="Calibri"/>
          <w:i/>
          <w:lang w:val="en-AU"/>
        </w:rPr>
        <w:t>Munkhjargal Bat-Erdene,</w:t>
      </w:r>
      <w:r w:rsidRPr="001F32E1">
        <w:rPr>
          <w:rFonts w:ascii="Calibri" w:hAnsi="Calibri" w:cs="Calibri"/>
          <w:i/>
          <w:vertAlign w:val="superscript"/>
          <w:lang w:val="en-AU"/>
        </w:rPr>
        <w:t>A</w:t>
      </w:r>
      <w:r w:rsidRPr="001F32E1">
        <w:rPr>
          <w:rFonts w:ascii="Calibri" w:hAnsi="Calibri" w:cs="Calibri"/>
          <w:i/>
          <w:lang w:val="en-AU"/>
        </w:rPr>
        <w:t xml:space="preserve"> Guangrui Xu,</w:t>
      </w:r>
      <w:r w:rsidRPr="001F32E1">
        <w:rPr>
          <w:rFonts w:ascii="Calibri" w:hAnsi="Calibri" w:cs="Calibri"/>
          <w:i/>
          <w:vertAlign w:val="superscript"/>
          <w:lang w:val="en-AU"/>
        </w:rPr>
        <w:t>B,C</w:t>
      </w:r>
      <w:r w:rsidRPr="001F32E1">
        <w:rPr>
          <w:rFonts w:ascii="Calibri" w:hAnsi="Calibri" w:cs="Calibri"/>
          <w:i/>
          <w:lang w:val="en-AU"/>
        </w:rPr>
        <w:t xml:space="preserve"> Munkhbayar Batmunkh,</w:t>
      </w:r>
      <w:r w:rsidRPr="001F32E1">
        <w:rPr>
          <w:rFonts w:ascii="Calibri" w:hAnsi="Calibri" w:cs="Calibri"/>
          <w:i/>
          <w:vertAlign w:val="superscript"/>
          <w:lang w:val="en-AU"/>
        </w:rPr>
        <w:t>A,D</w:t>
      </w:r>
      <w:r w:rsidRPr="001F32E1">
        <w:rPr>
          <w:rFonts w:ascii="Calibri" w:hAnsi="Calibri" w:cs="Calibri"/>
          <w:i/>
          <w:lang w:val="en-AU"/>
        </w:rPr>
        <w:t xml:space="preserve"> Abdulaziz S. R. Bati,</w:t>
      </w:r>
      <w:r w:rsidRPr="001F32E1">
        <w:rPr>
          <w:rFonts w:ascii="Calibri" w:hAnsi="Calibri" w:cs="Calibri"/>
          <w:i/>
          <w:vertAlign w:val="superscript"/>
          <w:lang w:val="en-AU"/>
        </w:rPr>
        <w:t>A</w:t>
      </w:r>
      <w:r w:rsidRPr="001F32E1">
        <w:rPr>
          <w:rFonts w:ascii="Calibri" w:hAnsi="Calibri" w:cs="Calibri"/>
          <w:i/>
          <w:lang w:val="en-AU"/>
        </w:rPr>
        <w:t xml:space="preserve"> Md J. Nine,</w:t>
      </w:r>
      <w:r w:rsidRPr="001F32E1">
        <w:rPr>
          <w:rFonts w:ascii="Calibri" w:hAnsi="Calibri" w:cs="Calibri"/>
          <w:i/>
          <w:vertAlign w:val="superscript"/>
          <w:lang w:val="en-AU"/>
        </w:rPr>
        <w:t>E</w:t>
      </w:r>
      <w:r w:rsidRPr="001F32E1">
        <w:rPr>
          <w:rFonts w:ascii="Calibri" w:hAnsi="Calibri" w:cs="Calibri"/>
          <w:i/>
          <w:lang w:val="en-AU"/>
        </w:rPr>
        <w:t xml:space="preserve"> Dusan Losic,</w:t>
      </w:r>
      <w:r w:rsidRPr="001F32E1">
        <w:rPr>
          <w:rFonts w:ascii="Calibri" w:hAnsi="Calibri" w:cs="Calibri"/>
          <w:i/>
          <w:vertAlign w:val="superscript"/>
          <w:lang w:val="en-AU"/>
        </w:rPr>
        <w:t>E</w:t>
      </w:r>
      <w:r w:rsidRPr="001F32E1">
        <w:rPr>
          <w:rFonts w:ascii="Calibri" w:hAnsi="Calibri" w:cs="Calibri"/>
          <w:i/>
          <w:lang w:val="en-AU"/>
        </w:rPr>
        <w:t xml:space="preserve"> Yu Chen,</w:t>
      </w:r>
      <w:r w:rsidRPr="001F32E1">
        <w:rPr>
          <w:rFonts w:ascii="Calibri" w:hAnsi="Calibri" w:cs="Calibri"/>
          <w:i/>
          <w:vertAlign w:val="superscript"/>
          <w:lang w:val="en-AU"/>
        </w:rPr>
        <w:t>C</w:t>
      </w:r>
      <w:r w:rsidRPr="001F32E1">
        <w:rPr>
          <w:rFonts w:ascii="Calibri" w:hAnsi="Calibri" w:cs="Calibri"/>
          <w:i/>
          <w:lang w:val="en-AU"/>
        </w:rPr>
        <w:t xml:space="preserve"> Tianyi Ma,</w:t>
      </w:r>
      <w:r w:rsidRPr="001F32E1">
        <w:rPr>
          <w:rFonts w:ascii="Calibri" w:hAnsi="Calibri" w:cs="Calibri"/>
          <w:i/>
          <w:vertAlign w:val="superscript"/>
          <w:lang w:val="en-AU"/>
        </w:rPr>
        <w:t>B</w:t>
      </w:r>
      <w:r>
        <w:rPr>
          <w:rFonts w:ascii="Calibri" w:hAnsi="Calibri" w:cs="Calibri"/>
          <w:i/>
          <w:lang w:val="en-AU"/>
        </w:rPr>
        <w:t xml:space="preserve"> Joseph G. Shapter,</w:t>
      </w:r>
      <w:r w:rsidRPr="001F32E1">
        <w:rPr>
          <w:rFonts w:ascii="Calibri" w:hAnsi="Calibri" w:cs="Calibri"/>
          <w:i/>
          <w:vertAlign w:val="superscript"/>
          <w:lang w:val="en-AU"/>
        </w:rPr>
        <w:t>A</w:t>
      </w:r>
      <w:r w:rsidRPr="001F32E1">
        <w:rPr>
          <w:rFonts w:ascii="Calibri" w:hAnsi="Calibri" w:cs="Calibri"/>
          <w:i/>
          <w:lang w:val="en-AU"/>
        </w:rPr>
        <w:t>*</w:t>
      </w:r>
    </w:p>
    <w:p w14:paraId="6DF5B13A" w14:textId="45A6CA52" w:rsidR="00290089" w:rsidRDefault="00290089" w:rsidP="00F26BBE">
      <w:pPr>
        <w:jc w:val="center"/>
        <w:rPr>
          <w:rFonts w:ascii="Calibri" w:hAnsi="Calibri" w:cs="Calibri"/>
          <w:i/>
          <w:lang w:val="en-AU"/>
        </w:rPr>
      </w:pPr>
      <w:r>
        <w:rPr>
          <w:rFonts w:ascii="Calibri" w:hAnsi="Calibri" w:cs="Calibri"/>
          <w:i/>
          <w:lang w:val="en-AU"/>
        </w:rPr>
        <w:t xml:space="preserve">E-mail: </w:t>
      </w:r>
      <w:hyperlink r:id="rId5" w:history="1">
        <w:r w:rsidRPr="00197988">
          <w:rPr>
            <w:rStyle w:val="Hyperlink"/>
            <w:rFonts w:ascii="Calibri" w:hAnsi="Calibri" w:cs="Calibri"/>
            <w:i/>
            <w:lang w:val="en-AU"/>
          </w:rPr>
          <w:t>m.baterdene@uq.net.au</w:t>
        </w:r>
      </w:hyperlink>
      <w:r>
        <w:rPr>
          <w:rFonts w:ascii="Calibri" w:hAnsi="Calibri" w:cs="Calibri"/>
          <w:i/>
          <w:lang w:val="en-AU"/>
        </w:rPr>
        <w:t xml:space="preserve">; </w:t>
      </w:r>
      <w:hyperlink r:id="rId6" w:history="1">
        <w:r w:rsidRPr="00197988">
          <w:rPr>
            <w:rStyle w:val="Hyperlink"/>
            <w:rFonts w:ascii="Calibri" w:hAnsi="Calibri" w:cs="Calibri"/>
            <w:i/>
            <w:lang w:val="en-AU"/>
          </w:rPr>
          <w:t>j.shapter@uq.edu.au</w:t>
        </w:r>
      </w:hyperlink>
      <w:r>
        <w:rPr>
          <w:rFonts w:ascii="Calibri" w:hAnsi="Calibri" w:cs="Calibri"/>
          <w:i/>
          <w:lang w:val="en-AU"/>
        </w:rPr>
        <w:t xml:space="preserve"> </w:t>
      </w:r>
    </w:p>
    <w:p w14:paraId="24ED18A9" w14:textId="77777777" w:rsidR="001F32E1" w:rsidRDefault="001F32E1" w:rsidP="00F26BBE">
      <w:pPr>
        <w:jc w:val="center"/>
        <w:rPr>
          <w:rFonts w:ascii="Calibri" w:hAnsi="Calibri" w:cs="Calibri"/>
          <w:i/>
          <w:lang w:val="en-AU"/>
        </w:rPr>
      </w:pPr>
    </w:p>
    <w:p w14:paraId="769F5552" w14:textId="76BE3B9E" w:rsidR="001F32E1" w:rsidRPr="001F32E1" w:rsidRDefault="001F32E1" w:rsidP="001F32E1">
      <w:pPr>
        <w:jc w:val="center"/>
        <w:rPr>
          <w:rFonts w:ascii="Calibri" w:hAnsi="Calibri" w:cs="Calibri"/>
          <w:sz w:val="22"/>
          <w:szCs w:val="22"/>
          <w:lang w:val="en-AU"/>
        </w:rPr>
      </w:pPr>
      <w:r w:rsidRPr="001F32E1">
        <w:rPr>
          <w:rFonts w:ascii="Calibri" w:hAnsi="Calibri" w:cs="Calibri"/>
          <w:b/>
          <w:sz w:val="22"/>
          <w:szCs w:val="22"/>
          <w:vertAlign w:val="superscript"/>
          <w:lang w:val="en-AU"/>
        </w:rPr>
        <w:t>A</w:t>
      </w:r>
      <w:r w:rsidRPr="001F32E1">
        <w:rPr>
          <w:rFonts w:ascii="Calibri" w:hAnsi="Calibri" w:cs="Calibri"/>
          <w:sz w:val="22"/>
          <w:szCs w:val="22"/>
          <w:lang w:val="en-AU"/>
        </w:rPr>
        <w:t xml:space="preserve"> Australian Institute for Bioengineering and Nanotechnology, The University of Queensland, Brisbane, QLD 4072, Australia</w:t>
      </w:r>
    </w:p>
    <w:p w14:paraId="5999103E" w14:textId="1738FDED" w:rsidR="001F32E1" w:rsidRPr="001F32E1" w:rsidRDefault="001F32E1" w:rsidP="001F32E1">
      <w:pPr>
        <w:jc w:val="center"/>
        <w:rPr>
          <w:rFonts w:ascii="Calibri" w:hAnsi="Calibri" w:cs="Calibri"/>
          <w:sz w:val="22"/>
          <w:szCs w:val="22"/>
          <w:lang w:val="en-AU"/>
        </w:rPr>
      </w:pPr>
      <w:r w:rsidRPr="001F32E1">
        <w:rPr>
          <w:rFonts w:ascii="Calibri" w:hAnsi="Calibri" w:cs="Calibri"/>
          <w:b/>
          <w:sz w:val="22"/>
          <w:szCs w:val="22"/>
          <w:vertAlign w:val="superscript"/>
          <w:lang w:val="en-AU"/>
        </w:rPr>
        <w:t>B</w:t>
      </w:r>
      <w:r w:rsidRPr="001F32E1">
        <w:rPr>
          <w:rFonts w:ascii="Calibri" w:hAnsi="Calibri" w:cs="Calibri"/>
          <w:sz w:val="22"/>
          <w:szCs w:val="22"/>
          <w:lang w:val="en-AU"/>
        </w:rPr>
        <w:t xml:space="preserve"> Discipline of Chemistry, School of Environmental and Life Sciences, The University of Newcastle (UON), Callaghan, NSW 2308, Australia</w:t>
      </w:r>
    </w:p>
    <w:p w14:paraId="6010F243" w14:textId="34D43F06" w:rsidR="001F32E1" w:rsidRPr="001F32E1" w:rsidRDefault="001F32E1" w:rsidP="001F32E1">
      <w:pPr>
        <w:jc w:val="center"/>
        <w:rPr>
          <w:rFonts w:ascii="Calibri" w:hAnsi="Calibri" w:cs="Calibri"/>
          <w:sz w:val="22"/>
          <w:szCs w:val="22"/>
          <w:lang w:val="en-AU"/>
        </w:rPr>
      </w:pPr>
      <w:r w:rsidRPr="001F32E1">
        <w:rPr>
          <w:rFonts w:ascii="Calibri" w:hAnsi="Calibri" w:cs="Calibri"/>
          <w:b/>
          <w:sz w:val="22"/>
          <w:szCs w:val="22"/>
          <w:vertAlign w:val="superscript"/>
          <w:lang w:val="en-AU"/>
        </w:rPr>
        <w:t>C</w:t>
      </w:r>
      <w:r w:rsidRPr="001F32E1">
        <w:rPr>
          <w:rFonts w:ascii="Calibri" w:hAnsi="Calibri" w:cs="Calibri"/>
          <w:sz w:val="22"/>
          <w:szCs w:val="22"/>
          <w:lang w:val="en-AU"/>
        </w:rPr>
        <w:t xml:space="preserve"> Key Laboratory of Macromolecular Science of Shaanxi Province, Key Laboratory of Applied Surface and Colloid Chemistry (Ministry of Education), Shaanxi Key Laboratory for Advanced Energy Devices, School of Materials Science and Engineering, Shaanxi Normal University, Xi’an 710062, PR China</w:t>
      </w:r>
    </w:p>
    <w:p w14:paraId="052AE915" w14:textId="5D4E94D8" w:rsidR="001F32E1" w:rsidRPr="001F32E1" w:rsidRDefault="001F32E1" w:rsidP="001F32E1">
      <w:pPr>
        <w:jc w:val="center"/>
        <w:rPr>
          <w:rFonts w:ascii="Calibri" w:hAnsi="Calibri" w:cs="Calibri"/>
          <w:sz w:val="22"/>
          <w:szCs w:val="22"/>
          <w:lang w:val="en-AU"/>
        </w:rPr>
      </w:pPr>
      <w:r w:rsidRPr="001F32E1">
        <w:rPr>
          <w:rFonts w:ascii="Calibri" w:hAnsi="Calibri" w:cs="Calibri"/>
          <w:b/>
          <w:sz w:val="22"/>
          <w:szCs w:val="22"/>
          <w:vertAlign w:val="superscript"/>
          <w:lang w:val="en-AU"/>
        </w:rPr>
        <w:t>D</w:t>
      </w:r>
      <w:r w:rsidRPr="001F32E1">
        <w:rPr>
          <w:rFonts w:ascii="Calibri" w:hAnsi="Calibri" w:cs="Calibri"/>
          <w:sz w:val="22"/>
          <w:szCs w:val="22"/>
          <w:lang w:val="en-AU"/>
        </w:rPr>
        <w:t xml:space="preserve"> Centre for Clean Environment and Energy, Griffith University, Gold Coast, QLD 4222, Australia</w:t>
      </w:r>
    </w:p>
    <w:p w14:paraId="208FED8F" w14:textId="6FFFDCD6" w:rsidR="001F32E1" w:rsidRPr="006B3866" w:rsidRDefault="001F32E1" w:rsidP="001F32E1">
      <w:pPr>
        <w:jc w:val="center"/>
        <w:rPr>
          <w:rFonts w:ascii="Calibri" w:hAnsi="Calibri" w:cs="Calibri"/>
          <w:sz w:val="22"/>
          <w:szCs w:val="22"/>
          <w:lang w:val="en-AU"/>
        </w:rPr>
      </w:pPr>
      <w:r w:rsidRPr="001F32E1">
        <w:rPr>
          <w:rFonts w:ascii="Calibri" w:hAnsi="Calibri" w:cs="Calibri"/>
          <w:b/>
          <w:sz w:val="22"/>
          <w:szCs w:val="22"/>
          <w:vertAlign w:val="superscript"/>
          <w:lang w:val="en-AU"/>
        </w:rPr>
        <w:t>E</w:t>
      </w:r>
      <w:r w:rsidRPr="001F32E1">
        <w:rPr>
          <w:rFonts w:ascii="Calibri" w:hAnsi="Calibri" w:cs="Calibri"/>
          <w:sz w:val="22"/>
          <w:szCs w:val="22"/>
          <w:lang w:val="en-AU"/>
        </w:rPr>
        <w:t xml:space="preserve"> School of Chemical Engineering, The University of Adelaide, Adelaide, SA 5005, Australia</w:t>
      </w:r>
    </w:p>
    <w:p w14:paraId="05E17889" w14:textId="38F08F16" w:rsidR="00711813" w:rsidRPr="001F32E1" w:rsidRDefault="00711813" w:rsidP="001F32E1">
      <w:pPr>
        <w:pStyle w:val="Default"/>
        <w:spacing w:line="276" w:lineRule="auto"/>
        <w:jc w:val="both"/>
        <w:rPr>
          <w:rFonts w:asciiTheme="minorHAnsi" w:hAnsiTheme="minorHAnsi" w:cstheme="minorHAnsi"/>
          <w:color w:val="auto"/>
          <w:sz w:val="22"/>
          <w:szCs w:val="22"/>
          <w:lang w:val="en-AU"/>
        </w:rPr>
      </w:pPr>
      <w:r w:rsidRPr="001F32E1">
        <w:rPr>
          <w:rFonts w:asciiTheme="minorHAnsi" w:hAnsiTheme="minorHAnsi" w:cstheme="minorHAnsi"/>
          <w:i/>
          <w:color w:val="auto"/>
          <w:sz w:val="22"/>
          <w:szCs w:val="22"/>
        </w:rPr>
        <w:t xml:space="preserve"> </w:t>
      </w:r>
    </w:p>
    <w:p w14:paraId="797B3E43" w14:textId="77777777" w:rsidR="001F32E1" w:rsidRDefault="001F32E1" w:rsidP="001F32E1">
      <w:pPr>
        <w:spacing w:line="276" w:lineRule="auto"/>
        <w:jc w:val="both"/>
        <w:rPr>
          <w:rFonts w:asciiTheme="minorHAnsi" w:hAnsiTheme="minorHAnsi" w:cstheme="minorHAnsi"/>
          <w:spacing w:val="-5"/>
          <w:sz w:val="22"/>
          <w:szCs w:val="22"/>
          <w:shd w:val="clear" w:color="auto" w:fill="FFFFFF"/>
        </w:rPr>
      </w:pPr>
    </w:p>
    <w:p w14:paraId="0E9B6ACE" w14:textId="5A6DC02F" w:rsidR="001F32E1" w:rsidRDefault="001F32E1" w:rsidP="001F32E1">
      <w:pPr>
        <w:spacing w:line="276" w:lineRule="auto"/>
        <w:jc w:val="both"/>
        <w:rPr>
          <w:rFonts w:asciiTheme="minorHAnsi" w:hAnsiTheme="minorHAnsi" w:cstheme="minorHAnsi"/>
          <w:spacing w:val="-5"/>
          <w:sz w:val="22"/>
          <w:szCs w:val="22"/>
          <w:shd w:val="clear" w:color="auto" w:fill="FFFFFF"/>
        </w:rPr>
      </w:pPr>
      <w:r w:rsidRPr="001F32E1">
        <w:rPr>
          <w:rFonts w:asciiTheme="minorHAnsi" w:hAnsiTheme="minorHAnsi" w:cstheme="minorHAnsi"/>
          <w:spacing w:val="-5"/>
          <w:sz w:val="22"/>
          <w:szCs w:val="22"/>
          <w:shd w:val="clear" w:color="auto" w:fill="FFFFFF"/>
        </w:rPr>
        <w:t>Designing efficient and stable catalyst</w:t>
      </w:r>
      <w:r w:rsidR="000946F0">
        <w:rPr>
          <w:rFonts w:asciiTheme="minorHAnsi" w:hAnsiTheme="minorHAnsi" w:cstheme="minorHAnsi"/>
          <w:spacing w:val="-5"/>
          <w:sz w:val="22"/>
          <w:szCs w:val="22"/>
          <w:shd w:val="clear" w:color="auto" w:fill="FFFFFF"/>
        </w:rPr>
        <w:t>s</w:t>
      </w:r>
      <w:r w:rsidRPr="001F32E1">
        <w:rPr>
          <w:rFonts w:asciiTheme="minorHAnsi" w:hAnsiTheme="minorHAnsi" w:cstheme="minorHAnsi"/>
          <w:spacing w:val="-5"/>
          <w:sz w:val="22"/>
          <w:szCs w:val="22"/>
          <w:shd w:val="clear" w:color="auto" w:fill="FFFFFF"/>
        </w:rPr>
        <w:t xml:space="preserve"> for </w:t>
      </w:r>
      <w:r w:rsidR="000946F0">
        <w:rPr>
          <w:rFonts w:asciiTheme="minorHAnsi" w:hAnsiTheme="minorHAnsi" w:cstheme="minorHAnsi"/>
          <w:spacing w:val="-5"/>
          <w:sz w:val="22"/>
          <w:szCs w:val="22"/>
          <w:shd w:val="clear" w:color="auto" w:fill="FFFFFF"/>
        </w:rPr>
        <w:t xml:space="preserve">the </w:t>
      </w:r>
      <w:r w:rsidRPr="001F32E1">
        <w:rPr>
          <w:rFonts w:asciiTheme="minorHAnsi" w:hAnsiTheme="minorHAnsi" w:cstheme="minorHAnsi"/>
          <w:spacing w:val="-5"/>
          <w:sz w:val="22"/>
          <w:szCs w:val="22"/>
          <w:shd w:val="clear" w:color="auto" w:fill="FFFFFF"/>
        </w:rPr>
        <w:t>nitrogen (N</w:t>
      </w:r>
      <w:r w:rsidRPr="001F32E1">
        <w:rPr>
          <w:rFonts w:asciiTheme="minorHAnsi" w:hAnsiTheme="minorHAnsi" w:cstheme="minorHAnsi"/>
          <w:spacing w:val="-5"/>
          <w:sz w:val="22"/>
          <w:szCs w:val="22"/>
          <w:shd w:val="clear" w:color="auto" w:fill="FFFFFF"/>
          <w:vertAlign w:val="subscript"/>
        </w:rPr>
        <w:t>2</w:t>
      </w:r>
      <w:r w:rsidRPr="001F32E1">
        <w:rPr>
          <w:rFonts w:asciiTheme="minorHAnsi" w:hAnsiTheme="minorHAnsi" w:cstheme="minorHAnsi"/>
          <w:spacing w:val="-5"/>
          <w:sz w:val="22"/>
          <w:szCs w:val="22"/>
          <w:shd w:val="clear" w:color="auto" w:fill="FFFFFF"/>
        </w:rPr>
        <w:t>) reduction reaction (NRR) based ammonia (NH</w:t>
      </w:r>
      <w:r w:rsidRPr="001F32E1">
        <w:rPr>
          <w:rFonts w:asciiTheme="minorHAnsi" w:hAnsiTheme="minorHAnsi" w:cstheme="minorHAnsi"/>
          <w:spacing w:val="-5"/>
          <w:sz w:val="22"/>
          <w:szCs w:val="22"/>
          <w:shd w:val="clear" w:color="auto" w:fill="FFFFFF"/>
          <w:vertAlign w:val="subscript"/>
        </w:rPr>
        <w:t>3</w:t>
      </w:r>
      <w:r w:rsidRPr="001F32E1">
        <w:rPr>
          <w:rFonts w:asciiTheme="minorHAnsi" w:hAnsiTheme="minorHAnsi" w:cstheme="minorHAnsi"/>
          <w:spacing w:val="-5"/>
          <w:sz w:val="22"/>
          <w:szCs w:val="22"/>
          <w:shd w:val="clear" w:color="auto" w:fill="FFFFFF"/>
        </w:rPr>
        <w:t>) synthesis has been the subject of intense investigation.</w:t>
      </w:r>
      <w:r w:rsidRPr="001F32E1">
        <w:rPr>
          <w:rFonts w:asciiTheme="minorHAnsi" w:hAnsiTheme="minorHAnsi" w:cstheme="minorHAnsi"/>
          <w:sz w:val="22"/>
          <w:szCs w:val="22"/>
        </w:rPr>
        <w:t xml:space="preserve"> </w:t>
      </w:r>
      <w:r w:rsidRPr="001F32E1">
        <w:rPr>
          <w:rFonts w:asciiTheme="minorHAnsi" w:hAnsiTheme="minorHAnsi" w:cstheme="minorHAnsi"/>
          <w:spacing w:val="-5"/>
          <w:sz w:val="22"/>
          <w:szCs w:val="22"/>
          <w:shd w:val="clear" w:color="auto" w:fill="FFFFFF"/>
        </w:rPr>
        <w:t>Herein, we prepared ultrathin two-dimensional (2D) antimonene nanosheets using a combination of ball milling and sonication-based liquid exfoliation method and used them as nob</w:t>
      </w:r>
      <w:r w:rsidR="000946F0">
        <w:rPr>
          <w:rFonts w:asciiTheme="minorHAnsi" w:hAnsiTheme="minorHAnsi" w:cstheme="minorHAnsi"/>
          <w:spacing w:val="-5"/>
          <w:sz w:val="22"/>
          <w:szCs w:val="22"/>
          <w:shd w:val="clear" w:color="auto" w:fill="FFFFFF"/>
        </w:rPr>
        <w:t>le</w:t>
      </w:r>
      <w:r w:rsidRPr="001F32E1">
        <w:rPr>
          <w:rFonts w:asciiTheme="minorHAnsi" w:hAnsiTheme="minorHAnsi" w:cstheme="minorHAnsi"/>
          <w:spacing w:val="-5"/>
          <w:sz w:val="22"/>
          <w:szCs w:val="22"/>
          <w:shd w:val="clear" w:color="auto" w:fill="FFFFFF"/>
        </w:rPr>
        <w:t>-metal-free electrocatalyst for NRR for the first time. Our</w:t>
      </w:r>
      <w:r w:rsidRPr="001F32E1">
        <w:rPr>
          <w:rFonts w:asciiTheme="minorHAnsi" w:hAnsiTheme="minorHAnsi" w:cstheme="minorHAnsi"/>
          <w:sz w:val="22"/>
          <w:szCs w:val="22"/>
        </w:rPr>
        <w:t xml:space="preserve"> </w:t>
      </w:r>
      <w:r w:rsidRPr="001F32E1">
        <w:rPr>
          <w:rFonts w:asciiTheme="minorHAnsi" w:hAnsiTheme="minorHAnsi" w:cstheme="minorHAnsi"/>
          <w:spacing w:val="-5"/>
          <w:sz w:val="22"/>
          <w:szCs w:val="22"/>
          <w:shd w:val="clear" w:color="auto" w:fill="FFFFFF"/>
        </w:rPr>
        <w:t>2D antimonene nanosheets without any supporting catalyst exhibit an impressive activity and excellent stability for efficient electrocatalytic conversion of N</w:t>
      </w:r>
      <w:r w:rsidRPr="001F32E1">
        <w:rPr>
          <w:rFonts w:asciiTheme="minorHAnsi" w:hAnsiTheme="minorHAnsi" w:cstheme="minorHAnsi"/>
          <w:spacing w:val="-5"/>
          <w:sz w:val="22"/>
          <w:szCs w:val="22"/>
          <w:shd w:val="clear" w:color="auto" w:fill="FFFFFF"/>
          <w:vertAlign w:val="subscript"/>
        </w:rPr>
        <w:t>2</w:t>
      </w:r>
      <w:r w:rsidRPr="001F32E1">
        <w:rPr>
          <w:rFonts w:asciiTheme="minorHAnsi" w:hAnsiTheme="minorHAnsi" w:cstheme="minorHAnsi"/>
          <w:spacing w:val="-5"/>
          <w:sz w:val="22"/>
          <w:szCs w:val="22"/>
          <w:shd w:val="clear" w:color="auto" w:fill="FFFFFF"/>
        </w:rPr>
        <w:t xml:space="preserve"> to NH</w:t>
      </w:r>
      <w:r w:rsidRPr="001F32E1">
        <w:rPr>
          <w:rFonts w:asciiTheme="minorHAnsi" w:hAnsiTheme="minorHAnsi" w:cstheme="minorHAnsi"/>
          <w:spacing w:val="-5"/>
          <w:sz w:val="22"/>
          <w:szCs w:val="22"/>
          <w:shd w:val="clear" w:color="auto" w:fill="FFFFFF"/>
          <w:vertAlign w:val="subscript"/>
        </w:rPr>
        <w:t>3</w:t>
      </w:r>
      <w:r w:rsidRPr="001F32E1">
        <w:rPr>
          <w:rFonts w:asciiTheme="minorHAnsi" w:hAnsiTheme="minorHAnsi" w:cstheme="minorHAnsi"/>
          <w:spacing w:val="-5"/>
          <w:sz w:val="22"/>
          <w:szCs w:val="22"/>
          <w:shd w:val="clear" w:color="auto" w:fill="FFFFFF"/>
        </w:rPr>
        <w:t>. At a potential of +0.05 V versus the reversible hydrogen electrode (RHE),</w:t>
      </w:r>
      <w:r w:rsidRPr="001F32E1">
        <w:rPr>
          <w:rFonts w:asciiTheme="minorHAnsi" w:hAnsiTheme="minorHAnsi" w:cstheme="minorHAnsi"/>
          <w:sz w:val="22"/>
          <w:szCs w:val="22"/>
        </w:rPr>
        <w:t xml:space="preserve"> </w:t>
      </w:r>
      <w:r w:rsidRPr="001F32E1">
        <w:rPr>
          <w:rFonts w:asciiTheme="minorHAnsi" w:hAnsiTheme="minorHAnsi" w:cstheme="minorHAnsi"/>
          <w:spacing w:val="-5"/>
          <w:sz w:val="22"/>
          <w:szCs w:val="22"/>
          <w:shd w:val="clear" w:color="auto" w:fill="FFFFFF"/>
        </w:rPr>
        <w:t>a high NH</w:t>
      </w:r>
      <w:r w:rsidRPr="001F32E1">
        <w:rPr>
          <w:rFonts w:asciiTheme="minorHAnsi" w:hAnsiTheme="minorHAnsi" w:cstheme="minorHAnsi"/>
          <w:spacing w:val="-5"/>
          <w:sz w:val="22"/>
          <w:szCs w:val="22"/>
          <w:shd w:val="clear" w:color="auto" w:fill="FFFFFF"/>
          <w:vertAlign w:val="subscript"/>
        </w:rPr>
        <w:t>3</w:t>
      </w:r>
      <w:r w:rsidRPr="001F32E1">
        <w:rPr>
          <w:rFonts w:asciiTheme="minorHAnsi" w:hAnsiTheme="minorHAnsi" w:cstheme="minorHAnsi"/>
          <w:spacing w:val="-5"/>
          <w:sz w:val="22"/>
          <w:szCs w:val="22"/>
          <w:shd w:val="clear" w:color="auto" w:fill="FFFFFF"/>
        </w:rPr>
        <w:t xml:space="preserve"> yield of </w:t>
      </w:r>
      <w:r>
        <w:rPr>
          <w:spacing w:val="-5"/>
          <w:sz w:val="22"/>
          <w:szCs w:val="22"/>
          <w:shd w:val="clear" w:color="auto" w:fill="FFFFFF"/>
        </w:rPr>
        <w:t>⁓</w:t>
      </w:r>
      <w:r w:rsidRPr="001F32E1">
        <w:rPr>
          <w:rFonts w:asciiTheme="minorHAnsi" w:hAnsiTheme="minorHAnsi" w:cstheme="minorHAnsi"/>
          <w:spacing w:val="-5"/>
          <w:sz w:val="22"/>
          <w:szCs w:val="22"/>
          <w:shd w:val="clear" w:color="auto" w:fill="FFFFFF"/>
        </w:rPr>
        <w:t xml:space="preserve">294.9 </w:t>
      </w:r>
      <w:r w:rsidRPr="001F32E1">
        <w:rPr>
          <w:rFonts w:ascii="Calibri" w:hAnsi="Calibri" w:cs="Calibri"/>
          <w:spacing w:val="-5"/>
          <w:sz w:val="22"/>
          <w:szCs w:val="22"/>
          <w:shd w:val="clear" w:color="auto" w:fill="FFFFFF"/>
        </w:rPr>
        <w:t>μ</w:t>
      </w:r>
      <w:r w:rsidRPr="001F32E1">
        <w:rPr>
          <w:rFonts w:asciiTheme="minorHAnsi" w:hAnsiTheme="minorHAnsi" w:cstheme="minorHAnsi"/>
          <w:spacing w:val="-5"/>
          <w:sz w:val="22"/>
          <w:szCs w:val="22"/>
          <w:shd w:val="clear" w:color="auto" w:fill="FFFFFF"/>
        </w:rPr>
        <w:t>g h</w:t>
      </w:r>
      <w:r w:rsidRPr="001F32E1">
        <w:rPr>
          <w:rFonts w:asciiTheme="minorHAnsi" w:hAnsiTheme="minorHAnsi" w:cstheme="minorHAnsi"/>
          <w:spacing w:val="-5"/>
          <w:sz w:val="22"/>
          <w:szCs w:val="22"/>
          <w:shd w:val="clear" w:color="auto" w:fill="FFFFFF"/>
          <w:vertAlign w:val="superscript"/>
        </w:rPr>
        <w:t>-1</w:t>
      </w:r>
      <w:r w:rsidRPr="001F32E1">
        <w:rPr>
          <w:rFonts w:asciiTheme="minorHAnsi" w:hAnsiTheme="minorHAnsi" w:cstheme="minorHAnsi"/>
          <w:spacing w:val="-5"/>
          <w:sz w:val="22"/>
          <w:szCs w:val="22"/>
          <w:shd w:val="clear" w:color="auto" w:fill="FFFFFF"/>
        </w:rPr>
        <w:t xml:space="preserve"> mg</w:t>
      </w:r>
      <w:r w:rsidRPr="001F32E1">
        <w:rPr>
          <w:rFonts w:asciiTheme="minorHAnsi" w:hAnsiTheme="minorHAnsi" w:cstheme="minorHAnsi"/>
          <w:spacing w:val="-5"/>
          <w:sz w:val="22"/>
          <w:szCs w:val="22"/>
          <w:shd w:val="clear" w:color="auto" w:fill="FFFFFF"/>
          <w:vertAlign w:val="superscript"/>
        </w:rPr>
        <w:t>-1</w:t>
      </w:r>
      <w:r w:rsidRPr="001F32E1">
        <w:rPr>
          <w:rFonts w:asciiTheme="minorHAnsi" w:hAnsiTheme="minorHAnsi" w:cstheme="minorHAnsi"/>
          <w:spacing w:val="-5"/>
          <w:sz w:val="22"/>
          <w:szCs w:val="22"/>
          <w:shd w:val="clear" w:color="auto" w:fill="FFFFFF"/>
          <w:vertAlign w:val="subscript"/>
        </w:rPr>
        <w:t>CAT</w:t>
      </w:r>
      <w:r w:rsidRPr="001F32E1">
        <w:rPr>
          <w:rFonts w:asciiTheme="minorHAnsi" w:hAnsiTheme="minorHAnsi" w:cstheme="minorHAnsi"/>
          <w:spacing w:val="-5"/>
          <w:sz w:val="22"/>
          <w:szCs w:val="22"/>
          <w:shd w:val="clear" w:color="auto" w:fill="FFFFFF"/>
        </w:rPr>
        <w:t xml:space="preserve">) and Faradaic efficiency (FE) of </w:t>
      </w:r>
      <w:r>
        <w:rPr>
          <w:spacing w:val="-5"/>
          <w:sz w:val="22"/>
          <w:szCs w:val="22"/>
          <w:shd w:val="clear" w:color="auto" w:fill="FFFFFF"/>
        </w:rPr>
        <w:t>⁓</w:t>
      </w:r>
      <w:r w:rsidRPr="001F32E1">
        <w:rPr>
          <w:rFonts w:asciiTheme="minorHAnsi" w:hAnsiTheme="minorHAnsi" w:cstheme="minorHAnsi"/>
          <w:spacing w:val="-5"/>
          <w:sz w:val="22"/>
          <w:szCs w:val="22"/>
          <w:shd w:val="clear" w:color="auto" w:fill="FFFFFF"/>
        </w:rPr>
        <w:t>25.5 % is achieved</w:t>
      </w:r>
      <w:r w:rsidRPr="001F32E1">
        <w:rPr>
          <w:rFonts w:asciiTheme="minorHAnsi" w:hAnsiTheme="minorHAnsi" w:cstheme="minorHAnsi"/>
          <w:sz w:val="22"/>
          <w:szCs w:val="22"/>
        </w:rPr>
        <w:t xml:space="preserve"> </w:t>
      </w:r>
      <w:r w:rsidRPr="001F32E1">
        <w:rPr>
          <w:rFonts w:asciiTheme="minorHAnsi" w:hAnsiTheme="minorHAnsi" w:cstheme="minorHAnsi"/>
          <w:spacing w:val="-5"/>
          <w:sz w:val="22"/>
          <w:szCs w:val="22"/>
          <w:shd w:val="clear" w:color="auto" w:fill="FFFFFF"/>
        </w:rPr>
        <w:t>under ambient conditions using the 2D antimonene. This work opens up a new avenue towards the development of 2D electrocatalysts.</w:t>
      </w:r>
    </w:p>
    <w:p w14:paraId="3F72A630" w14:textId="2C5E547C" w:rsidR="009E1892" w:rsidRDefault="009E1892" w:rsidP="001F32E1">
      <w:pPr>
        <w:spacing w:line="276" w:lineRule="auto"/>
        <w:jc w:val="both"/>
        <w:rPr>
          <w:rFonts w:asciiTheme="minorHAnsi" w:hAnsiTheme="minorHAnsi" w:cstheme="minorHAnsi"/>
          <w:spacing w:val="-5"/>
          <w:sz w:val="22"/>
          <w:szCs w:val="22"/>
          <w:shd w:val="clear" w:color="auto" w:fill="FFFFFF"/>
        </w:rPr>
      </w:pPr>
    </w:p>
    <w:p w14:paraId="39DBD2BE" w14:textId="7D874915" w:rsidR="009E1892" w:rsidRDefault="009E1892" w:rsidP="009E1892">
      <w:pPr>
        <w:spacing w:line="276" w:lineRule="auto"/>
        <w:rPr>
          <w:rFonts w:asciiTheme="minorHAnsi" w:hAnsiTheme="minorHAnsi" w:cstheme="minorHAnsi"/>
          <w:spacing w:val="-5"/>
          <w:sz w:val="22"/>
          <w:szCs w:val="22"/>
          <w:shd w:val="clear" w:color="auto" w:fill="FFFFFF"/>
        </w:rPr>
      </w:pPr>
      <w:r>
        <w:rPr>
          <w:rFonts w:asciiTheme="minorHAnsi" w:hAnsiTheme="minorHAnsi" w:cstheme="minorHAnsi"/>
          <w:noProof/>
          <w:spacing w:val="-5"/>
          <w:sz w:val="22"/>
          <w:szCs w:val="22"/>
          <w:shd w:val="clear" w:color="auto" w:fill="FFFFFF"/>
          <w:lang w:val="en-AU" w:eastAsia="en-AU"/>
        </w:rPr>
        <w:drawing>
          <wp:inline distT="0" distB="0" distL="0" distR="0" wp14:anchorId="743A0F93" wp14:editId="29060AB3">
            <wp:extent cx="6112510" cy="180784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2510" cy="1807845"/>
                    </a:xfrm>
                    <a:prstGeom prst="rect">
                      <a:avLst/>
                    </a:prstGeom>
                    <a:noFill/>
                    <a:ln>
                      <a:noFill/>
                    </a:ln>
                  </pic:spPr>
                </pic:pic>
              </a:graphicData>
            </a:graphic>
          </wp:inline>
        </w:drawing>
      </w:r>
    </w:p>
    <w:p w14:paraId="4A0BB672" w14:textId="6E77FA04" w:rsidR="009E1892" w:rsidRPr="001F32E1" w:rsidRDefault="009E1892" w:rsidP="009E1892">
      <w:pPr>
        <w:spacing w:line="276" w:lineRule="auto"/>
        <w:jc w:val="center"/>
        <w:rPr>
          <w:rFonts w:asciiTheme="minorHAnsi" w:hAnsiTheme="minorHAnsi" w:cstheme="minorHAnsi"/>
          <w:spacing w:val="-5"/>
          <w:sz w:val="22"/>
          <w:szCs w:val="22"/>
          <w:shd w:val="clear" w:color="auto" w:fill="FFFFFF"/>
        </w:rPr>
      </w:pPr>
      <w:r>
        <w:rPr>
          <w:rFonts w:asciiTheme="minorHAnsi" w:hAnsiTheme="minorHAnsi" w:cstheme="minorHAnsi"/>
          <w:spacing w:val="-5"/>
          <w:sz w:val="22"/>
          <w:szCs w:val="22"/>
          <w:shd w:val="clear" w:color="auto" w:fill="FFFFFF"/>
        </w:rPr>
        <w:t>Figure. HAADF and elemental (Sb and O) mapping of antimonene nanosheets.</w:t>
      </w:r>
    </w:p>
    <w:p w14:paraId="7AC264A1" w14:textId="0BBF6D88" w:rsidR="001F32E1" w:rsidRDefault="001F32E1" w:rsidP="001F32E1">
      <w:pPr>
        <w:spacing w:line="276" w:lineRule="auto"/>
        <w:jc w:val="both"/>
        <w:rPr>
          <w:rFonts w:asciiTheme="minorHAnsi" w:hAnsiTheme="minorHAnsi" w:cstheme="minorHAnsi"/>
          <w:sz w:val="22"/>
          <w:szCs w:val="22"/>
          <w:lang w:val="en-AU"/>
        </w:rPr>
      </w:pPr>
    </w:p>
    <w:p w14:paraId="49D9BA78" w14:textId="77777777" w:rsidR="009E1892" w:rsidRPr="001F32E1" w:rsidRDefault="009E1892" w:rsidP="001F32E1">
      <w:pPr>
        <w:spacing w:line="276" w:lineRule="auto"/>
        <w:jc w:val="both"/>
        <w:rPr>
          <w:rFonts w:asciiTheme="minorHAnsi" w:hAnsiTheme="minorHAnsi" w:cstheme="minorHAnsi"/>
          <w:sz w:val="22"/>
          <w:szCs w:val="22"/>
          <w:lang w:val="en-AU"/>
        </w:rPr>
      </w:pPr>
      <w:bookmarkStart w:id="0" w:name="_GoBack"/>
      <w:bookmarkEnd w:id="0"/>
    </w:p>
    <w:p w14:paraId="193725D9" w14:textId="52D5785E" w:rsidR="005F19FF" w:rsidRPr="001F32E1" w:rsidRDefault="005F19FF" w:rsidP="001F32E1">
      <w:pPr>
        <w:spacing w:line="276" w:lineRule="auto"/>
        <w:jc w:val="both"/>
        <w:rPr>
          <w:rFonts w:asciiTheme="minorHAnsi" w:hAnsiTheme="minorHAnsi" w:cstheme="minorHAnsi"/>
          <w:b/>
          <w:sz w:val="22"/>
          <w:szCs w:val="22"/>
          <w:lang w:val="en-AU"/>
        </w:rPr>
      </w:pPr>
      <w:r w:rsidRPr="001F32E1">
        <w:rPr>
          <w:rFonts w:asciiTheme="minorHAnsi" w:hAnsiTheme="minorHAnsi" w:cstheme="minorHAnsi"/>
          <w:b/>
          <w:sz w:val="22"/>
          <w:szCs w:val="22"/>
          <w:lang w:val="en-AU"/>
        </w:rPr>
        <w:t>References</w:t>
      </w:r>
    </w:p>
    <w:p w14:paraId="19A0A76F" w14:textId="4E9DDAFC" w:rsidR="00F97620" w:rsidRPr="001F32E1" w:rsidRDefault="001F32E1" w:rsidP="001F32E1">
      <w:pPr>
        <w:pStyle w:val="ListParagraph"/>
        <w:numPr>
          <w:ilvl w:val="0"/>
          <w:numId w:val="2"/>
        </w:numPr>
        <w:spacing w:line="276" w:lineRule="auto"/>
        <w:ind w:left="357" w:hanging="357"/>
        <w:contextualSpacing w:val="0"/>
        <w:jc w:val="both"/>
        <w:rPr>
          <w:rFonts w:asciiTheme="minorHAnsi" w:hAnsiTheme="minorHAnsi" w:cstheme="minorHAnsi"/>
          <w:sz w:val="22"/>
          <w:szCs w:val="22"/>
          <w:lang w:val="en-AU"/>
        </w:rPr>
      </w:pPr>
      <w:r w:rsidRPr="001F32E1">
        <w:rPr>
          <w:rFonts w:asciiTheme="minorHAnsi" w:hAnsiTheme="minorHAnsi" w:cstheme="minorHAnsi"/>
          <w:sz w:val="22"/>
          <w:szCs w:val="22"/>
          <w:lang w:val="en-AU"/>
        </w:rPr>
        <w:t xml:space="preserve">W. Qiu, X. Y. Xie, J. Qiu, W. H. Fang, R. Liang, X. Ren, X. Ji, G. Cui, A. M. Asiri, G. Cui, B. Tang, X. Sun. </w:t>
      </w:r>
      <w:r w:rsidRPr="001F32E1">
        <w:rPr>
          <w:rFonts w:asciiTheme="minorHAnsi" w:hAnsiTheme="minorHAnsi" w:cstheme="minorHAnsi"/>
          <w:i/>
          <w:sz w:val="22"/>
          <w:szCs w:val="22"/>
          <w:lang w:val="en-AU"/>
        </w:rPr>
        <w:t>Nat Commun</w:t>
      </w:r>
      <w:r w:rsidRPr="001F32E1">
        <w:rPr>
          <w:rFonts w:asciiTheme="minorHAnsi" w:hAnsiTheme="minorHAnsi" w:cstheme="minorHAnsi"/>
          <w:sz w:val="22"/>
          <w:szCs w:val="22"/>
          <w:lang w:val="en-AU"/>
        </w:rPr>
        <w:t xml:space="preserve">., </w:t>
      </w:r>
      <w:r w:rsidRPr="001F32E1">
        <w:rPr>
          <w:rFonts w:asciiTheme="minorHAnsi" w:hAnsiTheme="minorHAnsi" w:cstheme="minorHAnsi"/>
          <w:b/>
          <w:sz w:val="22"/>
          <w:szCs w:val="22"/>
          <w:lang w:val="en-AU"/>
        </w:rPr>
        <w:t>2018</w:t>
      </w:r>
      <w:r w:rsidRPr="001F32E1">
        <w:rPr>
          <w:rFonts w:asciiTheme="minorHAnsi" w:hAnsiTheme="minorHAnsi" w:cstheme="minorHAnsi"/>
          <w:sz w:val="22"/>
          <w:szCs w:val="22"/>
          <w:lang w:val="en-AU"/>
        </w:rPr>
        <w:t>, 9, 3485.</w:t>
      </w:r>
    </w:p>
    <w:p w14:paraId="18E6CECA" w14:textId="030DB894" w:rsidR="001F32E1" w:rsidRPr="001F32E1" w:rsidRDefault="001F32E1" w:rsidP="001F32E1">
      <w:pPr>
        <w:pStyle w:val="ListParagraph"/>
        <w:numPr>
          <w:ilvl w:val="0"/>
          <w:numId w:val="2"/>
        </w:numPr>
        <w:spacing w:line="276" w:lineRule="auto"/>
        <w:ind w:left="357" w:hanging="357"/>
        <w:contextualSpacing w:val="0"/>
        <w:jc w:val="both"/>
        <w:rPr>
          <w:rFonts w:asciiTheme="minorHAnsi" w:hAnsiTheme="minorHAnsi" w:cstheme="minorHAnsi"/>
          <w:sz w:val="22"/>
          <w:szCs w:val="22"/>
          <w:lang w:val="en-AU"/>
        </w:rPr>
      </w:pPr>
      <w:r w:rsidRPr="001F32E1">
        <w:rPr>
          <w:rFonts w:asciiTheme="minorHAnsi" w:hAnsiTheme="minorHAnsi" w:cstheme="minorHAnsi"/>
          <w:sz w:val="22"/>
          <w:szCs w:val="22"/>
          <w:lang w:val="en-AU"/>
        </w:rPr>
        <w:t xml:space="preserve">L. Zhang, L. X. Ding, G. F. Chen, X. Yang, H. Wang. </w:t>
      </w:r>
      <w:r w:rsidRPr="001F32E1">
        <w:rPr>
          <w:rFonts w:asciiTheme="minorHAnsi" w:hAnsiTheme="minorHAnsi" w:cstheme="minorHAnsi"/>
          <w:i/>
          <w:sz w:val="22"/>
          <w:szCs w:val="22"/>
          <w:lang w:val="en-AU"/>
        </w:rPr>
        <w:t>Angew. Int. Chem. Ed</w:t>
      </w:r>
      <w:r w:rsidRPr="001F32E1">
        <w:rPr>
          <w:rFonts w:asciiTheme="minorHAnsi" w:hAnsiTheme="minorHAnsi" w:cstheme="minorHAnsi"/>
          <w:sz w:val="22"/>
          <w:szCs w:val="22"/>
          <w:lang w:val="en-AU"/>
        </w:rPr>
        <w:t xml:space="preserve">., </w:t>
      </w:r>
      <w:r w:rsidRPr="001F32E1">
        <w:rPr>
          <w:rFonts w:asciiTheme="minorHAnsi" w:hAnsiTheme="minorHAnsi" w:cstheme="minorHAnsi"/>
          <w:b/>
          <w:sz w:val="22"/>
          <w:szCs w:val="22"/>
          <w:lang w:val="en-AU"/>
        </w:rPr>
        <w:t>2019</w:t>
      </w:r>
      <w:r w:rsidRPr="001F32E1">
        <w:rPr>
          <w:rFonts w:asciiTheme="minorHAnsi" w:hAnsiTheme="minorHAnsi" w:cstheme="minorHAnsi"/>
          <w:sz w:val="22"/>
          <w:szCs w:val="22"/>
          <w:lang w:val="en-AU"/>
        </w:rPr>
        <w:t>, 58, 2612-2616.</w:t>
      </w:r>
    </w:p>
    <w:p w14:paraId="406EA769" w14:textId="21A93200" w:rsidR="001F32E1" w:rsidRPr="001F32E1" w:rsidRDefault="001F32E1" w:rsidP="001F32E1">
      <w:pPr>
        <w:pStyle w:val="ListParagraph"/>
        <w:numPr>
          <w:ilvl w:val="0"/>
          <w:numId w:val="2"/>
        </w:numPr>
        <w:spacing w:line="276" w:lineRule="auto"/>
        <w:ind w:left="357" w:hanging="357"/>
        <w:contextualSpacing w:val="0"/>
        <w:jc w:val="both"/>
        <w:rPr>
          <w:rFonts w:asciiTheme="minorHAnsi" w:hAnsiTheme="minorHAnsi" w:cstheme="minorHAnsi"/>
          <w:sz w:val="22"/>
          <w:szCs w:val="22"/>
          <w:lang w:val="en-AU"/>
        </w:rPr>
      </w:pPr>
      <w:r w:rsidRPr="001F32E1">
        <w:rPr>
          <w:rFonts w:asciiTheme="minorHAnsi" w:hAnsiTheme="minorHAnsi" w:cstheme="minorHAnsi"/>
          <w:sz w:val="22"/>
          <w:szCs w:val="22"/>
          <w:lang w:val="en-AU"/>
        </w:rPr>
        <w:t>L. Zhang, X. Ji, X. Ren, Y. Ma, X. Shi, Z. Tian, A. M. Asir, L. Chen, B. Tang, X. Sun</w:t>
      </w:r>
      <w:r w:rsidRPr="001F32E1">
        <w:rPr>
          <w:rFonts w:asciiTheme="minorHAnsi" w:hAnsiTheme="minorHAnsi" w:cstheme="minorHAnsi"/>
          <w:i/>
          <w:sz w:val="22"/>
          <w:szCs w:val="22"/>
          <w:lang w:val="en-AU"/>
        </w:rPr>
        <w:t>. Adv Mater</w:t>
      </w:r>
      <w:r w:rsidRPr="001F32E1">
        <w:rPr>
          <w:rFonts w:asciiTheme="minorHAnsi" w:hAnsiTheme="minorHAnsi" w:cstheme="minorHAnsi"/>
          <w:sz w:val="22"/>
          <w:szCs w:val="22"/>
          <w:lang w:val="en-AU"/>
        </w:rPr>
        <w:t>., 2018, 30, 1800191.</w:t>
      </w:r>
    </w:p>
    <w:sectPr w:rsidR="001F32E1" w:rsidRPr="001F32E1"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E9742E1"/>
    <w:multiLevelType w:val="hybridMultilevel"/>
    <w:tmpl w:val="B18E44E6"/>
    <w:lvl w:ilvl="0" w:tplc="EF64706E">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0946F0"/>
    <w:rsid w:val="001A21AD"/>
    <w:rsid w:val="001F32E1"/>
    <w:rsid w:val="002078AD"/>
    <w:rsid w:val="002226BB"/>
    <w:rsid w:val="00225236"/>
    <w:rsid w:val="002272B0"/>
    <w:rsid w:val="00290089"/>
    <w:rsid w:val="00300B92"/>
    <w:rsid w:val="0030585E"/>
    <w:rsid w:val="00326DD4"/>
    <w:rsid w:val="00387491"/>
    <w:rsid w:val="00483B05"/>
    <w:rsid w:val="004E28B9"/>
    <w:rsid w:val="004E5450"/>
    <w:rsid w:val="0055229D"/>
    <w:rsid w:val="00562D19"/>
    <w:rsid w:val="0059609A"/>
    <w:rsid w:val="00597659"/>
    <w:rsid w:val="005E48A2"/>
    <w:rsid w:val="005F19FF"/>
    <w:rsid w:val="00641190"/>
    <w:rsid w:val="006B3866"/>
    <w:rsid w:val="00711813"/>
    <w:rsid w:val="00724E3C"/>
    <w:rsid w:val="00743C46"/>
    <w:rsid w:val="008909C9"/>
    <w:rsid w:val="00947B77"/>
    <w:rsid w:val="009B2641"/>
    <w:rsid w:val="009E1892"/>
    <w:rsid w:val="009E2228"/>
    <w:rsid w:val="009F06D6"/>
    <w:rsid w:val="00A266B4"/>
    <w:rsid w:val="00BC5FCC"/>
    <w:rsid w:val="00BF1B05"/>
    <w:rsid w:val="00C60A71"/>
    <w:rsid w:val="00CC165A"/>
    <w:rsid w:val="00D55F3B"/>
    <w:rsid w:val="00DA2731"/>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ListParagraph">
    <w:name w:val="List Paragraph"/>
    <w:basedOn w:val="Normal"/>
    <w:uiPriority w:val="34"/>
    <w:qFormat/>
    <w:rsid w:val="001F32E1"/>
    <w:pPr>
      <w:ind w:left="720"/>
      <w:contextualSpacing/>
    </w:pPr>
  </w:style>
  <w:style w:type="character" w:styleId="PlaceholderText">
    <w:name w:val="Placeholder Text"/>
    <w:basedOn w:val="DefaultParagraphFont"/>
    <w:uiPriority w:val="99"/>
    <w:semiHidden/>
    <w:rsid w:val="001F32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shapter@uq.edu.au" TargetMode="External"/><Relationship Id="rId5" Type="http://schemas.openxmlformats.org/officeDocument/2006/relationships/hyperlink" Target="mailto:m.baterdene@uq.net.a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356</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2454</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Munkhbayar Batmunkh</cp:lastModifiedBy>
  <cp:revision>4</cp:revision>
  <cp:lastPrinted>2013-06-13T05:15:00Z</cp:lastPrinted>
  <dcterms:created xsi:type="dcterms:W3CDTF">2019-08-18T03:05:00Z</dcterms:created>
  <dcterms:modified xsi:type="dcterms:W3CDTF">2019-08-18T03:28:00Z</dcterms:modified>
</cp:coreProperties>
</file>