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96238" w14:textId="77777777" w:rsidR="00FF7C78" w:rsidRPr="00377092" w:rsidRDefault="008038E2" w:rsidP="00E76BF8">
      <w:pPr>
        <w:snapToGrid w:val="0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377092">
        <w:rPr>
          <w:rFonts w:ascii="Calibri" w:hAnsi="Calibri" w:cs="Calibri"/>
          <w:b/>
          <w:bCs/>
          <w:color w:val="000000" w:themeColor="text1"/>
          <w:sz w:val="20"/>
          <w:szCs w:val="20"/>
        </w:rPr>
        <w:t>Deprescribing cholinesterase inhibitors and memantine: What global evidence tells us</w:t>
      </w:r>
      <w:bookmarkStart w:id="0" w:name="_Hlk207199546"/>
    </w:p>
    <w:p w14:paraId="1EA1D3FC" w14:textId="5B4B3DA9" w:rsidR="00EA0F4E" w:rsidRPr="00377092" w:rsidRDefault="00EA0F4E" w:rsidP="00E76BF8">
      <w:pPr>
        <w:snapToGrid w:val="0"/>
        <w:rPr>
          <w:rFonts w:ascii="Calibri" w:hAnsi="Calibri" w:cs="Calibri"/>
          <w:color w:val="000000" w:themeColor="text1"/>
          <w:sz w:val="20"/>
          <w:szCs w:val="20"/>
        </w:rPr>
      </w:pPr>
      <w:r w:rsidRPr="00377092">
        <w:rPr>
          <w:rFonts w:ascii="Calibri" w:hAnsi="Calibri" w:cs="Calibri"/>
          <w:color w:val="000000" w:themeColor="text1"/>
          <w:sz w:val="20"/>
          <w:szCs w:val="20"/>
        </w:rPr>
        <w:t>Michelle MC Tan</w:t>
      </w:r>
      <w:r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, J Simon Bell</w:t>
      </w:r>
      <w:r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</w:rPr>
        <w:t>Madeleine SA Tan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Alli Patterson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2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, Sue Brennan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3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, Kelsey Price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2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, Max Murano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3</w:t>
      </w:r>
      <w:r w:rsidR="00D46A59" w:rsidRPr="00377092">
        <w:rPr>
          <w:rFonts w:ascii="Calibri" w:hAnsi="Calibri" w:cs="Calibri"/>
          <w:color w:val="000000" w:themeColor="text1"/>
          <w:sz w:val="20"/>
          <w:szCs w:val="20"/>
        </w:rPr>
        <w:t>, V</w:t>
      </w:r>
      <w:r w:rsidR="00B4526A" w:rsidRPr="00377092">
        <w:rPr>
          <w:rFonts w:ascii="Calibri" w:hAnsi="Calibri" w:cs="Calibri"/>
          <w:color w:val="000000" w:themeColor="text1"/>
          <w:sz w:val="20"/>
          <w:szCs w:val="20"/>
        </w:rPr>
        <w:t>e</w:t>
      </w:r>
      <w:r w:rsidR="00D46A59" w:rsidRPr="00377092">
        <w:rPr>
          <w:rFonts w:ascii="Calibri" w:hAnsi="Calibri" w:cs="Calibri"/>
          <w:color w:val="000000" w:themeColor="text1"/>
          <w:sz w:val="20"/>
          <w:szCs w:val="20"/>
        </w:rPr>
        <w:t>l</w:t>
      </w:r>
      <w:r w:rsidR="00B4526A" w:rsidRPr="00377092">
        <w:rPr>
          <w:rFonts w:ascii="Calibri" w:hAnsi="Calibri" w:cs="Calibri"/>
          <w:color w:val="000000" w:themeColor="text1"/>
          <w:sz w:val="20"/>
          <w:szCs w:val="20"/>
        </w:rPr>
        <w:t>a</w:t>
      </w:r>
      <w:r w:rsidR="00D46A59" w:rsidRPr="00377092">
        <w:rPr>
          <w:rFonts w:ascii="Calibri" w:hAnsi="Calibri" w:cs="Calibri"/>
          <w:color w:val="000000" w:themeColor="text1"/>
          <w:sz w:val="20"/>
          <w:szCs w:val="20"/>
        </w:rPr>
        <w:t>ndai Srikanth</w:t>
      </w:r>
      <w:r w:rsidR="00D46A59"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2</w:t>
      </w:r>
      <w:r w:rsidR="00D46A59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A946C2" w:rsidRPr="00377092">
        <w:rPr>
          <w:rFonts w:ascii="Calibri" w:hAnsi="Calibri" w:cs="Calibri"/>
          <w:color w:val="000000" w:themeColor="text1"/>
          <w:sz w:val="20"/>
          <w:szCs w:val="20"/>
        </w:rPr>
        <w:t>&amp;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Emily Reeve</w:t>
      </w:r>
      <w:r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C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entre for 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M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edicine 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U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se and 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S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</w:rPr>
        <w:t>afety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, Monash Uni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1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8238DF" w:rsidRPr="00377092">
        <w:rPr>
          <w:rFonts w:ascii="Calibri" w:hAnsi="Calibri" w:cs="Calibri"/>
          <w:color w:val="000000" w:themeColor="text1"/>
          <w:sz w:val="20"/>
          <w:szCs w:val="20"/>
        </w:rPr>
        <w:t>Parkville</w:t>
      </w:r>
      <w:r w:rsidR="00AC7F2C" w:rsidRPr="00377092">
        <w:rPr>
          <w:rFonts w:ascii="Calibri" w:hAnsi="Calibri" w:cs="Calibri"/>
          <w:color w:val="000000" w:themeColor="text1"/>
          <w:sz w:val="20"/>
          <w:szCs w:val="20"/>
        </w:rPr>
        <w:t>;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National Centre for Healthy Ageing, Monash Uni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2</w:t>
      </w:r>
      <w:r w:rsidR="00BB3333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8238DF" w:rsidRPr="00377092">
        <w:rPr>
          <w:rFonts w:ascii="Calibri" w:hAnsi="Calibri" w:cs="Calibri"/>
          <w:color w:val="000000" w:themeColor="text1"/>
          <w:sz w:val="20"/>
          <w:szCs w:val="20"/>
        </w:rPr>
        <w:t>Frankston</w:t>
      </w:r>
      <w:r w:rsidR="00AC7F2C" w:rsidRPr="00377092">
        <w:rPr>
          <w:rFonts w:ascii="Calibri" w:hAnsi="Calibri" w:cs="Calibri"/>
          <w:color w:val="000000" w:themeColor="text1"/>
          <w:sz w:val="20"/>
          <w:szCs w:val="20"/>
        </w:rPr>
        <w:t>;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Cochrane Australia, Monash Uni</w:t>
      </w:r>
      <w:r w:rsidR="001851F7" w:rsidRPr="00377092">
        <w:rPr>
          <w:rFonts w:ascii="Calibri" w:hAnsi="Calibri" w:cs="Calibri"/>
          <w:color w:val="000000" w:themeColor="text1"/>
          <w:sz w:val="20"/>
          <w:szCs w:val="20"/>
          <w:vertAlign w:val="superscript"/>
        </w:rPr>
        <w:t>3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8238DF" w:rsidRPr="00377092">
        <w:rPr>
          <w:rFonts w:ascii="Calibri" w:hAnsi="Calibri" w:cs="Calibri"/>
          <w:color w:val="000000" w:themeColor="text1"/>
          <w:sz w:val="20"/>
          <w:szCs w:val="20"/>
        </w:rPr>
        <w:t>St Kilda Rd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2336DE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VIC, 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Australia.</w:t>
      </w:r>
    </w:p>
    <w:bookmarkEnd w:id="0"/>
    <w:p w14:paraId="33920A3B" w14:textId="77777777" w:rsidR="00EA0F4E" w:rsidRPr="00377092" w:rsidRDefault="00EA0F4E" w:rsidP="008F6DAD">
      <w:pPr>
        <w:pStyle w:val="Default"/>
        <w:snapToGrid w:val="0"/>
        <w:rPr>
          <w:color w:val="000000" w:themeColor="text1"/>
          <w:sz w:val="20"/>
          <w:szCs w:val="20"/>
          <w:lang w:val="en-AU"/>
        </w:rPr>
      </w:pPr>
    </w:p>
    <w:p w14:paraId="70738FA8" w14:textId="71C42B6B" w:rsidR="00636E83" w:rsidRPr="00377092" w:rsidRDefault="00711813" w:rsidP="0038274A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77092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>Introduction.</w:t>
      </w:r>
      <w:r w:rsidRPr="00377092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8F6DAD" w:rsidRPr="00377092">
        <w:rPr>
          <w:rFonts w:ascii="Calibri" w:hAnsi="Calibri" w:cs="Calibri"/>
          <w:color w:val="000000" w:themeColor="text1"/>
          <w:sz w:val="20"/>
          <w:szCs w:val="20"/>
        </w:rPr>
        <w:t>C</w:t>
      </w:r>
      <w:r w:rsidR="00636E83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holinesterase inhibitors (ChEIs) and memantine </w:t>
      </w:r>
      <w:r w:rsidR="00EF2159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currently </w:t>
      </w:r>
      <w:r w:rsidR="00636E83" w:rsidRPr="00377092">
        <w:rPr>
          <w:rFonts w:ascii="Calibri" w:hAnsi="Calibri" w:cs="Calibri"/>
          <w:color w:val="000000" w:themeColor="text1"/>
          <w:sz w:val="20"/>
          <w:szCs w:val="20"/>
        </w:rPr>
        <w:t>remain the primary symptomatic treatments for dementia. While these medications may offer modest benefits in cognition, function, and behaviour, they are not disease-modifying and carry potential risks, particularly with prolonged use</w:t>
      </w:r>
      <w:r w:rsidR="008A6658" w:rsidRPr="00377092">
        <w:rPr>
          <w:rFonts w:ascii="Calibri" w:hAnsi="Calibri" w:cs="Calibri"/>
          <w:color w:val="000000" w:themeColor="text1"/>
          <w:sz w:val="20"/>
          <w:szCs w:val="20"/>
        </w:rPr>
        <w:t>.</w:t>
      </w:r>
      <w:r w:rsidR="00636E83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E47841" w:rsidRPr="00377092">
        <w:rPr>
          <w:rFonts w:ascii="Calibri" w:hAnsi="Calibri" w:cs="Calibri"/>
          <w:color w:val="000000" w:themeColor="text1"/>
          <w:sz w:val="20"/>
          <w:szCs w:val="20"/>
        </w:rPr>
        <w:t>There is a</w:t>
      </w:r>
      <w:r w:rsidR="0090398A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636E83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need for clear </w:t>
      </w:r>
      <w:r w:rsidR="0090398A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evidence-based </w:t>
      </w:r>
      <w:r w:rsidR="00636E83" w:rsidRPr="00377092">
        <w:rPr>
          <w:rFonts w:ascii="Calibri" w:hAnsi="Calibri" w:cs="Calibri"/>
          <w:color w:val="000000" w:themeColor="text1"/>
          <w:sz w:val="20"/>
          <w:szCs w:val="20"/>
        </w:rPr>
        <w:t>deprescribing guidance</w:t>
      </w:r>
      <w:r w:rsidR="00E47841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to support </w:t>
      </w:r>
      <w:r w:rsidR="00AA29FF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E47841" w:rsidRPr="00377092">
        <w:rPr>
          <w:rFonts w:ascii="Calibri" w:hAnsi="Calibri" w:cs="Calibri"/>
          <w:color w:val="000000" w:themeColor="text1"/>
          <w:sz w:val="20"/>
          <w:szCs w:val="20"/>
        </w:rPr>
        <w:t>appropriate use of these medications</w:t>
      </w:r>
      <w:r w:rsidR="00636E83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</w:p>
    <w:p w14:paraId="2DC952AB" w14:textId="7698051A" w:rsidR="00DE51AC" w:rsidRPr="00377092" w:rsidRDefault="00DE51AC" w:rsidP="0038274A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77092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>Aims.</w:t>
      </w:r>
      <w:r w:rsidRPr="00377092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636E83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To 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>evaluate</w:t>
      </w:r>
      <w:r w:rsidR="00E47841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the</w:t>
      </w:r>
      <w:r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outcomes of withdrawal of ChEIs and/or memantine compared with continuation</w:t>
      </w:r>
      <w:r w:rsidR="00E47841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to inform </w:t>
      </w:r>
      <w:r w:rsidR="00AA29FF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E47841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development of deprescribing recommendations for inclusion in </w:t>
      </w:r>
      <w:r w:rsidR="00B4526A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the update of </w:t>
      </w:r>
      <w:r w:rsidR="00E47841" w:rsidRPr="00377092">
        <w:rPr>
          <w:rFonts w:ascii="Calibri" w:hAnsi="Calibri" w:cs="Calibri"/>
          <w:color w:val="000000" w:themeColor="text1"/>
          <w:sz w:val="20"/>
          <w:szCs w:val="20"/>
        </w:rPr>
        <w:t>Australia’s National Dementia Clinical Practice Guidelines (CPG) 2026.</w:t>
      </w:r>
      <w:r w:rsidR="00B53A7F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We conducted an updated systematic review of deprescribing of ChEIs/memantine.</w:t>
      </w:r>
    </w:p>
    <w:p w14:paraId="1EA1A264" w14:textId="599B491A" w:rsidR="00B53A7F" w:rsidRPr="00377092" w:rsidRDefault="00711813" w:rsidP="0038274A">
      <w:pPr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</w:pPr>
      <w:r w:rsidRPr="00377092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>Methods.</w:t>
      </w:r>
      <w:r w:rsidRPr="00377092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5F0E75" w:rsidRPr="00377092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We systematically </w:t>
      </w:r>
      <w:r w:rsidR="005F0E75" w:rsidRPr="00377092">
        <w:rPr>
          <w:rFonts w:ascii="Calibri" w:hAnsi="Calibri" w:cs="Calibri"/>
          <w:color w:val="000000" w:themeColor="text1"/>
          <w:sz w:val="20"/>
          <w:szCs w:val="20"/>
        </w:rPr>
        <w:t>s</w:t>
      </w:r>
      <w:r w:rsidR="00D944ED" w:rsidRPr="00377092">
        <w:rPr>
          <w:rFonts w:ascii="Calibri" w:hAnsi="Calibri" w:cs="Calibri"/>
          <w:color w:val="000000" w:themeColor="text1"/>
          <w:sz w:val="20"/>
          <w:szCs w:val="20"/>
        </w:rPr>
        <w:t>earche</w:t>
      </w:r>
      <w:r w:rsidR="005F0E75" w:rsidRPr="00377092">
        <w:rPr>
          <w:rFonts w:ascii="Calibri" w:hAnsi="Calibri" w:cs="Calibri"/>
          <w:color w:val="000000" w:themeColor="text1"/>
          <w:sz w:val="20"/>
          <w:szCs w:val="20"/>
        </w:rPr>
        <w:t>d</w:t>
      </w:r>
      <w:r w:rsidR="00D944ED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CENTRAL (Ovid), MEDLINE and Embase databases (July 2016─2025)</w:t>
      </w:r>
      <w:r w:rsidR="005F0E75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6A0E5A" w:rsidRPr="00377092">
        <w:rPr>
          <w:rFonts w:ascii="Calibri" w:hAnsi="Calibri" w:cs="Calibri"/>
          <w:color w:val="000000" w:themeColor="text1"/>
          <w:sz w:val="20"/>
          <w:szCs w:val="20"/>
        </w:rPr>
        <w:t>supplemented</w:t>
      </w:r>
      <w:r w:rsidR="005F0E75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by hand</w:t>
      </w:r>
      <w:r w:rsidR="006A0E5A" w:rsidRPr="00377092">
        <w:rPr>
          <w:rFonts w:ascii="Calibri" w:hAnsi="Calibri" w:cs="Calibri"/>
          <w:color w:val="000000" w:themeColor="text1"/>
          <w:sz w:val="20"/>
          <w:szCs w:val="20"/>
        </w:rPr>
        <w:t>-</w:t>
      </w:r>
      <w:r w:rsidR="005F0E75" w:rsidRPr="00377092">
        <w:rPr>
          <w:rFonts w:ascii="Calibri" w:hAnsi="Calibri" w:cs="Calibri"/>
          <w:color w:val="000000" w:themeColor="text1"/>
          <w:sz w:val="20"/>
          <w:szCs w:val="20"/>
        </w:rPr>
        <w:t>searching</w:t>
      </w:r>
      <w:r w:rsidR="00E47841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="00B0476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We uniquely </w:t>
      </w:r>
      <w:r w:rsidR="00EF2159" w:rsidRPr="00377092">
        <w:rPr>
          <w:rFonts w:ascii="Calibri" w:hAnsi="Calibri" w:cs="Calibri"/>
          <w:color w:val="000000" w:themeColor="text1"/>
          <w:sz w:val="20"/>
          <w:szCs w:val="20"/>
        </w:rPr>
        <w:t>include</w:t>
      </w:r>
      <w:r w:rsidR="00B0476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both </w:t>
      </w:r>
      <w:r w:rsidR="005F0E75" w:rsidRPr="00377092">
        <w:rPr>
          <w:rFonts w:ascii="Calibri" w:hAnsi="Calibri" w:cs="Calibri"/>
          <w:color w:val="000000" w:themeColor="text1"/>
          <w:sz w:val="20"/>
          <w:szCs w:val="20"/>
        </w:rPr>
        <w:t>randomised controlled trials (</w:t>
      </w:r>
      <w:r w:rsidR="00B04766" w:rsidRPr="00377092">
        <w:rPr>
          <w:rFonts w:ascii="Calibri" w:hAnsi="Calibri" w:cs="Calibri"/>
          <w:color w:val="000000" w:themeColor="text1"/>
          <w:sz w:val="20"/>
          <w:szCs w:val="20"/>
        </w:rPr>
        <w:t>RCTs</w:t>
      </w:r>
      <w:r w:rsidR="005F0E75" w:rsidRPr="00377092">
        <w:rPr>
          <w:rFonts w:ascii="Calibri" w:hAnsi="Calibri" w:cs="Calibri"/>
          <w:color w:val="000000" w:themeColor="text1"/>
          <w:sz w:val="20"/>
          <w:szCs w:val="20"/>
        </w:rPr>
        <w:t>)</w:t>
      </w:r>
      <w:r w:rsidR="00B0476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and non-randomised studies of interventions (NRSIs) </w:t>
      </w:r>
      <w:r w:rsidR="00EF2159" w:rsidRPr="00377092">
        <w:rPr>
          <w:rFonts w:ascii="Calibri" w:hAnsi="Calibri" w:cs="Calibri"/>
          <w:color w:val="000000" w:themeColor="text1"/>
          <w:sz w:val="20"/>
          <w:szCs w:val="20"/>
        </w:rPr>
        <w:t>to</w:t>
      </w:r>
      <w:r w:rsidR="00B0476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balanc</w:t>
      </w:r>
      <w:r w:rsidR="00EF2159" w:rsidRPr="00377092">
        <w:rPr>
          <w:rFonts w:ascii="Calibri" w:hAnsi="Calibri" w:cs="Calibri"/>
          <w:color w:val="000000" w:themeColor="text1"/>
          <w:sz w:val="20"/>
          <w:szCs w:val="20"/>
        </w:rPr>
        <w:t>e</w:t>
      </w:r>
      <w:r w:rsidR="00B0476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the strengths and limitations of diverse evidence sources and clinical relevance. </w:t>
      </w:r>
      <w:r w:rsidR="003200DA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For inclusion in the new CPG, additional criteria </w:t>
      </w:r>
      <w:r w:rsidR="00FD4F06">
        <w:rPr>
          <w:rFonts w:ascii="Calibri" w:hAnsi="Calibri" w:cs="Calibri"/>
          <w:color w:val="000000" w:themeColor="text1"/>
          <w:sz w:val="20"/>
          <w:szCs w:val="20"/>
        </w:rPr>
        <w:t xml:space="preserve">and </w:t>
      </w:r>
      <w:r w:rsidR="00B81390">
        <w:rPr>
          <w:rFonts w:ascii="Calibri" w:hAnsi="Calibri" w:cs="Calibri"/>
          <w:color w:val="000000" w:themeColor="text1"/>
          <w:sz w:val="20"/>
          <w:szCs w:val="20"/>
        </w:rPr>
        <w:t xml:space="preserve">an </w:t>
      </w:r>
      <w:r w:rsidR="00FD4F06">
        <w:rPr>
          <w:rFonts w:ascii="Calibri" w:hAnsi="Calibri" w:cs="Calibri"/>
          <w:color w:val="000000" w:themeColor="text1"/>
          <w:sz w:val="20"/>
          <w:szCs w:val="20"/>
        </w:rPr>
        <w:t xml:space="preserve">algorithm </w:t>
      </w:r>
      <w:r w:rsidR="003200DA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were </w:t>
      </w:r>
      <w:r w:rsidR="00491FF7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explicitly </w:t>
      </w:r>
      <w:r w:rsidR="003200DA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designed to determine the appropriateness of including NRSIs. </w:t>
      </w:r>
      <w:r w:rsidR="00B82152" w:rsidRPr="00377092">
        <w:rPr>
          <w:rFonts w:ascii="Calibri" w:hAnsi="Calibri" w:cs="Calibri"/>
          <w:color w:val="000000" w:themeColor="text1"/>
          <w:sz w:val="20"/>
          <w:szCs w:val="20"/>
        </w:rPr>
        <w:t>Risk of bias was assessed using the latest Cochrane RoB and ROBINS-I v2 tools</w:t>
      </w:r>
      <w:r w:rsidR="00AE6C0A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</w:p>
    <w:p w14:paraId="26ADBA7A" w14:textId="4FB2C0F7" w:rsidR="00711813" w:rsidRPr="00377092" w:rsidRDefault="00711813" w:rsidP="0038274A">
      <w:pPr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377092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>Results.</w:t>
      </w:r>
      <w:r w:rsidR="00B433A9" w:rsidRPr="00377092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 xml:space="preserve"> </w:t>
      </w:r>
      <w:r w:rsidR="00B433A9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Our new </w:t>
      </w:r>
      <w:r w:rsidR="00EF2159" w:rsidRPr="00377092">
        <w:rPr>
          <w:rFonts w:ascii="Calibri" w:hAnsi="Calibri" w:cs="Calibri"/>
          <w:color w:val="000000" w:themeColor="text1"/>
          <w:sz w:val="20"/>
          <w:szCs w:val="20"/>
        </w:rPr>
        <w:t>search</w:t>
      </w:r>
      <w:r w:rsidR="00B433A9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identified 3,03</w:t>
      </w:r>
      <w:r w:rsidR="005F0E75" w:rsidRPr="00377092">
        <w:rPr>
          <w:rFonts w:ascii="Calibri" w:hAnsi="Calibri" w:cs="Calibri"/>
          <w:color w:val="000000" w:themeColor="text1"/>
          <w:sz w:val="20"/>
          <w:szCs w:val="20"/>
        </w:rPr>
        <w:t>9</w:t>
      </w:r>
      <w:r w:rsidR="00B433A9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records, </w:t>
      </w:r>
      <w:r w:rsidR="00E62474" w:rsidRPr="00377092">
        <w:rPr>
          <w:rFonts w:ascii="Calibri" w:hAnsi="Calibri" w:cs="Calibri"/>
          <w:color w:val="000000" w:themeColor="text1"/>
          <w:sz w:val="20"/>
          <w:szCs w:val="20"/>
        </w:rPr>
        <w:t>with</w:t>
      </w:r>
      <w:r w:rsidR="00B433A9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7</w:t>
      </w:r>
      <w:r w:rsidR="005F0E75" w:rsidRPr="00377092">
        <w:rPr>
          <w:rFonts w:ascii="Calibri" w:hAnsi="Calibri" w:cs="Calibri"/>
          <w:color w:val="000000" w:themeColor="text1"/>
          <w:sz w:val="20"/>
          <w:szCs w:val="20"/>
        </w:rPr>
        <w:t>4</w:t>
      </w:r>
      <w:r w:rsidR="00B433A9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full texts reviewed </w:t>
      </w:r>
      <w:r w:rsidR="002957D6" w:rsidRPr="00377092">
        <w:rPr>
          <w:rFonts w:ascii="Calibri" w:hAnsi="Calibri" w:cs="Calibri"/>
          <w:color w:val="000000" w:themeColor="text1"/>
          <w:sz w:val="20"/>
          <w:szCs w:val="20"/>
        </w:rPr>
        <w:t>and 1</w:t>
      </w:r>
      <w:r w:rsidR="00057BA6" w:rsidRPr="00377092">
        <w:rPr>
          <w:rFonts w:ascii="Calibri" w:hAnsi="Calibri" w:cs="Calibri"/>
          <w:color w:val="000000" w:themeColor="text1"/>
          <w:sz w:val="20"/>
          <w:szCs w:val="20"/>
        </w:rPr>
        <w:t>0</w:t>
      </w:r>
      <w:r w:rsidR="002957D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studies </w:t>
      </w:r>
      <w:r w:rsidR="00E62474" w:rsidRPr="00377092">
        <w:rPr>
          <w:rFonts w:ascii="Calibri" w:hAnsi="Calibri" w:cs="Calibri"/>
          <w:color w:val="000000" w:themeColor="text1"/>
          <w:sz w:val="20"/>
          <w:szCs w:val="20"/>
        </w:rPr>
        <w:t>included</w:t>
      </w:r>
      <w:r w:rsidR="00B433A9" w:rsidRPr="00377092">
        <w:rPr>
          <w:rFonts w:ascii="Calibri" w:hAnsi="Calibri" w:cs="Calibri"/>
          <w:color w:val="000000" w:themeColor="text1"/>
          <w:sz w:val="20"/>
          <w:szCs w:val="20"/>
        </w:rPr>
        <w:t>.</w:t>
      </w:r>
      <w:r w:rsidRPr="00377092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B433A9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In </w:t>
      </w:r>
      <w:r w:rsidR="00EF2159" w:rsidRPr="00377092">
        <w:rPr>
          <w:rFonts w:ascii="Calibri" w:hAnsi="Calibri" w:cs="Calibri"/>
          <w:color w:val="000000" w:themeColor="text1"/>
          <w:sz w:val="20"/>
          <w:szCs w:val="20"/>
        </w:rPr>
        <w:t>the</w:t>
      </w:r>
      <w:r w:rsidR="00B433A9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original 201</w:t>
      </w:r>
      <w:r w:rsidR="00C328B8" w:rsidRPr="00377092">
        <w:rPr>
          <w:rFonts w:ascii="Calibri" w:hAnsi="Calibri" w:cs="Calibri"/>
          <w:color w:val="000000" w:themeColor="text1"/>
          <w:sz w:val="20"/>
          <w:szCs w:val="20"/>
        </w:rPr>
        <w:t>6</w:t>
      </w:r>
      <w:r w:rsidR="00B433A9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EF2159" w:rsidRPr="00377092">
        <w:rPr>
          <w:rFonts w:ascii="Calibri" w:hAnsi="Calibri" w:cs="Calibri"/>
          <w:color w:val="000000" w:themeColor="text1"/>
          <w:sz w:val="20"/>
          <w:szCs w:val="20"/>
        </w:rPr>
        <w:t>systematic review</w:t>
      </w:r>
      <w:r w:rsidR="00B433A9" w:rsidRPr="00377092">
        <w:rPr>
          <w:rFonts w:ascii="Calibri" w:hAnsi="Calibri" w:cs="Calibri"/>
          <w:color w:val="000000" w:themeColor="text1"/>
          <w:sz w:val="20"/>
          <w:szCs w:val="20"/>
        </w:rPr>
        <w:t>, 5,787 records were screened, 265 full</w:t>
      </w:r>
      <w:r w:rsidR="002957D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B433A9" w:rsidRPr="00377092">
        <w:rPr>
          <w:rFonts w:ascii="Calibri" w:hAnsi="Calibri" w:cs="Calibri"/>
          <w:color w:val="000000" w:themeColor="text1"/>
          <w:sz w:val="20"/>
          <w:szCs w:val="20"/>
        </w:rPr>
        <w:t>texts assessed and 50 studies included</w:t>
      </w:r>
      <w:r w:rsidR="002957D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="00EF2159" w:rsidRPr="00377092">
        <w:rPr>
          <w:rFonts w:ascii="Calibri" w:hAnsi="Calibri" w:cs="Calibri"/>
          <w:color w:val="000000" w:themeColor="text1"/>
          <w:sz w:val="20"/>
          <w:szCs w:val="20"/>
        </w:rPr>
        <w:t>Therefore</w:t>
      </w:r>
      <w:r w:rsidR="00C328B8" w:rsidRPr="00377092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B53A7F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E62474" w:rsidRPr="00377092">
        <w:rPr>
          <w:rFonts w:ascii="Calibri" w:hAnsi="Calibri" w:cs="Calibri"/>
          <w:color w:val="000000" w:themeColor="text1"/>
          <w:sz w:val="20"/>
          <w:szCs w:val="20"/>
        </w:rPr>
        <w:t>a total of</w:t>
      </w:r>
      <w:r w:rsidR="00B53A7F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6</w:t>
      </w:r>
      <w:r w:rsidR="001F5F7E" w:rsidRPr="00377092">
        <w:rPr>
          <w:rFonts w:ascii="Calibri" w:hAnsi="Calibri" w:cs="Calibri"/>
          <w:color w:val="000000" w:themeColor="text1"/>
          <w:sz w:val="20"/>
          <w:szCs w:val="20"/>
        </w:rPr>
        <w:t>0</w:t>
      </w:r>
      <w:r w:rsidR="00B53A7F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057BA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eligible </w:t>
      </w:r>
      <w:r w:rsidR="00B53A7F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studies </w:t>
      </w:r>
      <w:r w:rsidR="00E62474" w:rsidRPr="00377092">
        <w:rPr>
          <w:rFonts w:ascii="Calibri" w:hAnsi="Calibri" w:cs="Calibri"/>
          <w:color w:val="000000" w:themeColor="text1"/>
          <w:sz w:val="20"/>
          <w:szCs w:val="20"/>
        </w:rPr>
        <w:t>were identified</w:t>
      </w:r>
      <w:r w:rsidR="00847A5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B53A7F" w:rsidRPr="00377092">
        <w:rPr>
          <w:rFonts w:ascii="Calibri" w:hAnsi="Calibri" w:cs="Calibri"/>
          <w:color w:val="000000" w:themeColor="text1"/>
          <w:sz w:val="20"/>
          <w:szCs w:val="20"/>
        </w:rPr>
        <w:t>(</w:t>
      </w:r>
      <w:r w:rsidR="00903C15" w:rsidRPr="00377092">
        <w:rPr>
          <w:rFonts w:ascii="Calibri" w:hAnsi="Calibri" w:cs="Calibri"/>
          <w:color w:val="000000" w:themeColor="text1"/>
          <w:sz w:val="20"/>
          <w:szCs w:val="20"/>
        </w:rPr>
        <w:t>11</w:t>
      </w:r>
      <w:r w:rsidR="00B53A7F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RCTs and </w:t>
      </w:r>
      <w:r w:rsidR="00903C15" w:rsidRPr="00377092">
        <w:rPr>
          <w:rFonts w:ascii="Calibri" w:hAnsi="Calibri" w:cs="Calibri"/>
          <w:color w:val="000000" w:themeColor="text1"/>
          <w:sz w:val="20"/>
          <w:szCs w:val="20"/>
        </w:rPr>
        <w:t>49</w:t>
      </w:r>
      <w:r w:rsidR="00057BA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B53A7F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NRSIs). </w:t>
      </w:r>
      <w:r w:rsidR="00E62474" w:rsidRPr="00377092">
        <w:rPr>
          <w:rFonts w:ascii="Calibri" w:hAnsi="Calibri" w:cs="Calibri"/>
          <w:color w:val="000000" w:themeColor="text1"/>
          <w:sz w:val="20"/>
          <w:szCs w:val="20"/>
        </w:rPr>
        <w:t>A</w:t>
      </w:r>
      <w:r w:rsidR="00057BA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pplying our </w:t>
      </w:r>
      <w:r w:rsidR="00EE3216" w:rsidRPr="00377092">
        <w:rPr>
          <w:rFonts w:ascii="Calibri" w:hAnsi="Calibri" w:cs="Calibri"/>
          <w:color w:val="000000" w:themeColor="text1"/>
          <w:sz w:val="20"/>
          <w:szCs w:val="20"/>
        </w:rPr>
        <w:t>NR</w:t>
      </w:r>
      <w:r w:rsidR="00903C15" w:rsidRPr="00377092">
        <w:rPr>
          <w:rFonts w:ascii="Calibri" w:hAnsi="Calibri" w:cs="Calibri"/>
          <w:color w:val="000000" w:themeColor="text1"/>
          <w:sz w:val="20"/>
          <w:szCs w:val="20"/>
        </w:rPr>
        <w:t>S</w:t>
      </w:r>
      <w:r w:rsidR="00EE3216" w:rsidRPr="00377092">
        <w:rPr>
          <w:rFonts w:ascii="Calibri" w:hAnsi="Calibri" w:cs="Calibri"/>
          <w:color w:val="000000" w:themeColor="text1"/>
          <w:sz w:val="20"/>
          <w:szCs w:val="20"/>
        </w:rPr>
        <w:t>I</w:t>
      </w:r>
      <w:r w:rsidR="00E62474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eligibility </w:t>
      </w:r>
      <w:r w:rsidR="00EE3216" w:rsidRPr="00377092">
        <w:rPr>
          <w:rFonts w:ascii="Calibri" w:hAnsi="Calibri" w:cs="Calibri"/>
          <w:color w:val="000000" w:themeColor="text1"/>
          <w:sz w:val="20"/>
          <w:szCs w:val="20"/>
        </w:rPr>
        <w:t>criteria</w:t>
      </w:r>
      <w:r w:rsidR="00E62474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FD4F06">
        <w:rPr>
          <w:rFonts w:ascii="Calibri" w:hAnsi="Calibri" w:cs="Calibri"/>
          <w:color w:val="000000" w:themeColor="text1"/>
          <w:sz w:val="20"/>
          <w:szCs w:val="20"/>
        </w:rPr>
        <w:t xml:space="preserve">and algorithm </w:t>
      </w:r>
      <w:r w:rsidR="00E62474" w:rsidRPr="00377092">
        <w:rPr>
          <w:rFonts w:ascii="Calibri" w:hAnsi="Calibri" w:cs="Calibri"/>
          <w:color w:val="000000" w:themeColor="text1"/>
          <w:sz w:val="20"/>
          <w:szCs w:val="20"/>
        </w:rPr>
        <w:t>developed</w:t>
      </w:r>
      <w:r w:rsidR="00057BA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, </w:t>
      </w:r>
      <w:r w:rsidR="00E168EF" w:rsidRPr="00377092">
        <w:rPr>
          <w:rFonts w:ascii="Calibri" w:hAnsi="Calibri" w:cs="Calibri"/>
          <w:color w:val="000000" w:themeColor="text1"/>
          <w:sz w:val="20"/>
          <w:szCs w:val="20"/>
        </w:rPr>
        <w:t>30 studies (</w:t>
      </w:r>
      <w:r w:rsidR="00057BA6" w:rsidRPr="00377092">
        <w:rPr>
          <w:rFonts w:ascii="Calibri" w:hAnsi="Calibri" w:cs="Calibri"/>
          <w:color w:val="000000" w:themeColor="text1"/>
          <w:sz w:val="20"/>
          <w:szCs w:val="20"/>
        </w:rPr>
        <w:t>11 RCTs and 19 NRSIs</w:t>
      </w:r>
      <w:r w:rsidR="00E168EF" w:rsidRPr="00377092">
        <w:rPr>
          <w:rFonts w:ascii="Calibri" w:hAnsi="Calibri" w:cs="Calibri"/>
          <w:color w:val="000000" w:themeColor="text1"/>
          <w:sz w:val="20"/>
          <w:szCs w:val="20"/>
        </w:rPr>
        <w:t>)</w:t>
      </w:r>
      <w:r w:rsidR="00057BA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were </w:t>
      </w:r>
      <w:r w:rsidR="00E62474" w:rsidRPr="00377092">
        <w:rPr>
          <w:rFonts w:ascii="Calibri" w:hAnsi="Calibri" w:cs="Calibri"/>
          <w:color w:val="000000" w:themeColor="text1"/>
          <w:sz w:val="20"/>
          <w:szCs w:val="20"/>
        </w:rPr>
        <w:t>retained</w:t>
      </w:r>
      <w:r w:rsidR="002957D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. </w:t>
      </w:r>
      <w:r w:rsidR="00C328B8" w:rsidRPr="00377092">
        <w:rPr>
          <w:rFonts w:ascii="Calibri" w:hAnsi="Calibri" w:cs="Calibri"/>
          <w:color w:val="000000" w:themeColor="text1"/>
          <w:sz w:val="20"/>
          <w:szCs w:val="20"/>
        </w:rPr>
        <w:t>The most common reasons for excluding NRSIs are</w:t>
      </w:r>
      <w:r w:rsidR="00E62474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being </w:t>
      </w:r>
      <w:r w:rsidR="00857C7B" w:rsidRPr="00377092">
        <w:rPr>
          <w:rFonts w:ascii="Calibri" w:hAnsi="Calibri" w:cs="Calibri"/>
          <w:color w:val="000000" w:themeColor="text1"/>
          <w:sz w:val="20"/>
          <w:szCs w:val="20"/>
        </w:rPr>
        <w:t>at</w:t>
      </w:r>
      <w:r w:rsidR="00B82152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9C144A" w:rsidRPr="00377092">
        <w:rPr>
          <w:rFonts w:ascii="Calibri" w:hAnsi="Calibri" w:cs="Calibri"/>
          <w:color w:val="000000" w:themeColor="text1"/>
          <w:sz w:val="20"/>
          <w:szCs w:val="20"/>
        </w:rPr>
        <w:t>critical</w:t>
      </w:r>
      <w:r w:rsidR="00B82152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risk of bias</w:t>
      </w:r>
      <w:r w:rsidR="009C144A" w:rsidRPr="00377092">
        <w:rPr>
          <w:rFonts w:ascii="Calibri" w:hAnsi="Calibri" w:cs="Calibri"/>
          <w:color w:val="000000" w:themeColor="text1"/>
          <w:sz w:val="20"/>
          <w:szCs w:val="20"/>
        </w:rPr>
        <w:t>,</w:t>
      </w:r>
      <w:r w:rsidR="00B82152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8A6658" w:rsidRPr="00377092">
        <w:rPr>
          <w:rFonts w:ascii="Calibri" w:hAnsi="Calibri" w:cs="Calibri"/>
          <w:color w:val="000000" w:themeColor="text1"/>
          <w:sz w:val="20"/>
          <w:szCs w:val="20"/>
        </w:rPr>
        <w:t>mainly</w:t>
      </w:r>
      <w:r w:rsidR="00857C7B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due to </w:t>
      </w:r>
      <w:r w:rsidR="00B82152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inadequate comparators and unaddressed confounding. </w:t>
      </w:r>
    </w:p>
    <w:p w14:paraId="10679C88" w14:textId="53F8F53D" w:rsidR="00FC21A4" w:rsidRPr="00377092" w:rsidRDefault="00711813" w:rsidP="0038274A">
      <w:pPr>
        <w:snapToGrid w:val="0"/>
        <w:jc w:val="both"/>
        <w:rPr>
          <w:rFonts w:ascii="Calibri" w:hAnsi="Calibri" w:cs="Calibri"/>
          <w:color w:val="000000" w:themeColor="text1"/>
          <w:sz w:val="20"/>
          <w:szCs w:val="20"/>
          <w:lang w:val="en-AU"/>
        </w:rPr>
      </w:pPr>
      <w:r w:rsidRPr="00377092">
        <w:rPr>
          <w:rFonts w:ascii="Calibri" w:hAnsi="Calibri" w:cs="Calibri"/>
          <w:b/>
          <w:bCs/>
          <w:color w:val="000000" w:themeColor="text1"/>
          <w:sz w:val="20"/>
          <w:szCs w:val="20"/>
          <w:lang w:val="en-AU"/>
        </w:rPr>
        <w:t>Discussion.</w:t>
      </w:r>
      <w:r w:rsidR="00B04766" w:rsidRPr="00377092">
        <w:rPr>
          <w:rFonts w:ascii="Calibri" w:hAnsi="Calibri" w:cs="Calibri"/>
          <w:color w:val="000000" w:themeColor="text1"/>
          <w:sz w:val="20"/>
          <w:szCs w:val="20"/>
          <w:lang w:val="en-AU"/>
        </w:rPr>
        <w:t xml:space="preserve"> </w:t>
      </w:r>
      <w:r w:rsidR="007E5B7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This </w:t>
      </w:r>
      <w:r w:rsidR="00EE3216" w:rsidRPr="00377092">
        <w:rPr>
          <w:rFonts w:ascii="Calibri" w:hAnsi="Calibri" w:cs="Calibri"/>
          <w:color w:val="000000" w:themeColor="text1"/>
          <w:sz w:val="20"/>
          <w:szCs w:val="20"/>
        </w:rPr>
        <w:t>systematic review</w:t>
      </w:r>
      <w:r w:rsidR="007E5B7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491FF7" w:rsidRPr="00377092">
        <w:rPr>
          <w:rFonts w:ascii="Calibri" w:hAnsi="Calibri" w:cs="Calibri"/>
          <w:color w:val="000000" w:themeColor="text1"/>
          <w:sz w:val="20"/>
          <w:szCs w:val="20"/>
        </w:rPr>
        <w:t>re</w:t>
      </w:r>
      <w:r w:rsidR="007E5B7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presents the most comprehensive and up-to-date </w:t>
      </w:r>
      <w:r w:rsidR="00491FF7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global </w:t>
      </w:r>
      <w:r w:rsidR="007E5B7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evidence </w:t>
      </w:r>
      <w:r w:rsidR="00491FF7" w:rsidRPr="00377092">
        <w:rPr>
          <w:rFonts w:ascii="Calibri" w:hAnsi="Calibri" w:cs="Calibri"/>
          <w:color w:val="000000" w:themeColor="text1"/>
          <w:sz w:val="20"/>
          <w:szCs w:val="20"/>
        </w:rPr>
        <w:t>on deprescribing</w:t>
      </w:r>
      <w:r w:rsidR="00EE321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ChEIs/memantine and will</w:t>
      </w:r>
      <w:r w:rsidR="007E5B7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inform the development of recommendations for the </w:t>
      </w:r>
      <w:r w:rsidR="001619ED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updated </w:t>
      </w:r>
      <w:r w:rsidR="007E5B76" w:rsidRPr="00377092">
        <w:rPr>
          <w:rFonts w:ascii="Calibri" w:hAnsi="Calibri" w:cs="Calibri"/>
          <w:color w:val="000000" w:themeColor="text1"/>
          <w:sz w:val="20"/>
          <w:szCs w:val="20"/>
        </w:rPr>
        <w:t>Dementia CPG</w:t>
      </w:r>
      <w:r w:rsidR="00EE3216" w:rsidRPr="00377092">
        <w:rPr>
          <w:rFonts w:ascii="Calibri" w:hAnsi="Calibri" w:cs="Calibri"/>
          <w:color w:val="000000" w:themeColor="text1"/>
          <w:sz w:val="20"/>
          <w:szCs w:val="20"/>
        </w:rPr>
        <w:t>. These recommendations will support the appropriate deprescribing of ChEIs/memantine</w:t>
      </w:r>
      <w:r w:rsidR="00E931A4" w:rsidRPr="00377092">
        <w:rPr>
          <w:rFonts w:ascii="Calibri" w:hAnsi="Calibri" w:cs="Calibri"/>
          <w:color w:val="000000" w:themeColor="text1"/>
          <w:sz w:val="20"/>
          <w:szCs w:val="20"/>
        </w:rPr>
        <w:t>.</w:t>
      </w:r>
      <w:r w:rsidR="00EE321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491FF7" w:rsidRPr="00377092">
        <w:rPr>
          <w:rFonts w:ascii="Calibri" w:hAnsi="Calibri" w:cs="Calibri"/>
          <w:color w:val="000000" w:themeColor="text1"/>
          <w:sz w:val="20"/>
          <w:szCs w:val="20"/>
        </w:rPr>
        <w:t>The</w:t>
      </w:r>
      <w:r w:rsidR="00FC21A4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innovati</w:t>
      </w:r>
      <w:r w:rsidR="00EE321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ve method of determining eligibility </w:t>
      </w:r>
      <w:r w:rsidR="00E931A4" w:rsidRPr="00377092">
        <w:rPr>
          <w:rFonts w:ascii="Calibri" w:hAnsi="Calibri" w:cs="Calibri"/>
          <w:color w:val="000000" w:themeColor="text1"/>
          <w:sz w:val="20"/>
          <w:szCs w:val="20"/>
        </w:rPr>
        <w:t>of NR</w:t>
      </w:r>
      <w:r w:rsidR="00903C15" w:rsidRPr="00377092">
        <w:rPr>
          <w:rFonts w:ascii="Calibri" w:hAnsi="Calibri" w:cs="Calibri"/>
          <w:color w:val="000000" w:themeColor="text1"/>
          <w:sz w:val="20"/>
          <w:szCs w:val="20"/>
        </w:rPr>
        <w:t>S</w:t>
      </w:r>
      <w:r w:rsidR="00E931A4" w:rsidRPr="00377092">
        <w:rPr>
          <w:rFonts w:ascii="Calibri" w:hAnsi="Calibri" w:cs="Calibri"/>
          <w:color w:val="000000" w:themeColor="text1"/>
          <w:sz w:val="20"/>
          <w:szCs w:val="20"/>
        </w:rPr>
        <w:t>Is will</w:t>
      </w:r>
      <w:r w:rsidR="00FC21A4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maximise </w:t>
      </w:r>
      <w:r w:rsidR="00491FF7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the </w:t>
      </w:r>
      <w:r w:rsidR="00C328B8" w:rsidRPr="00377092">
        <w:rPr>
          <w:rFonts w:ascii="Calibri" w:hAnsi="Calibri" w:cs="Calibri"/>
          <w:color w:val="000000" w:themeColor="text1"/>
          <w:sz w:val="20"/>
          <w:szCs w:val="20"/>
        </w:rPr>
        <w:t>utilisation</w:t>
      </w:r>
      <w:r w:rsidR="00FC21A4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of available evidence to inform deprescribing recommendations, while ensuring</w:t>
      </w:r>
      <w:r w:rsidR="00B04766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="00491FF7" w:rsidRPr="00377092">
        <w:rPr>
          <w:rFonts w:ascii="Calibri" w:hAnsi="Calibri" w:cs="Calibri"/>
          <w:color w:val="000000" w:themeColor="text1"/>
          <w:sz w:val="20"/>
          <w:szCs w:val="20"/>
        </w:rPr>
        <w:t xml:space="preserve">methodological </w:t>
      </w:r>
      <w:r w:rsidR="00FC21A4" w:rsidRPr="00377092">
        <w:rPr>
          <w:rFonts w:ascii="Calibri" w:hAnsi="Calibri" w:cs="Calibri"/>
          <w:color w:val="000000" w:themeColor="text1"/>
          <w:sz w:val="20"/>
          <w:szCs w:val="20"/>
        </w:rPr>
        <w:t>robustness and quality of the evidence.</w:t>
      </w:r>
    </w:p>
    <w:sectPr w:rsidR="00FC21A4" w:rsidRPr="00377092" w:rsidSect="00FA174F">
      <w:pgSz w:w="11906" w:h="8391" w:orient="landscape" w:code="11"/>
      <w:pgMar w:top="850" w:right="1138" w:bottom="850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57BA6"/>
    <w:rsid w:val="00072472"/>
    <w:rsid w:val="00085EB0"/>
    <w:rsid w:val="00090E30"/>
    <w:rsid w:val="000927BF"/>
    <w:rsid w:val="000A4FA6"/>
    <w:rsid w:val="000C2F4D"/>
    <w:rsid w:val="000C7335"/>
    <w:rsid w:val="00115FC8"/>
    <w:rsid w:val="00124B3D"/>
    <w:rsid w:val="00142C13"/>
    <w:rsid w:val="001619ED"/>
    <w:rsid w:val="001851F7"/>
    <w:rsid w:val="001875EE"/>
    <w:rsid w:val="001C4972"/>
    <w:rsid w:val="001F5F7E"/>
    <w:rsid w:val="002226BB"/>
    <w:rsid w:val="002272B0"/>
    <w:rsid w:val="002336DE"/>
    <w:rsid w:val="002957D6"/>
    <w:rsid w:val="002F5230"/>
    <w:rsid w:val="00300B92"/>
    <w:rsid w:val="003200DA"/>
    <w:rsid w:val="003238D9"/>
    <w:rsid w:val="00377092"/>
    <w:rsid w:val="0038274A"/>
    <w:rsid w:val="00387491"/>
    <w:rsid w:val="003B2331"/>
    <w:rsid w:val="003C7863"/>
    <w:rsid w:val="00444224"/>
    <w:rsid w:val="0047595F"/>
    <w:rsid w:val="00483B05"/>
    <w:rsid w:val="0049189F"/>
    <w:rsid w:val="00491FF7"/>
    <w:rsid w:val="004D4FB4"/>
    <w:rsid w:val="004E28B9"/>
    <w:rsid w:val="004E50FC"/>
    <w:rsid w:val="004E5450"/>
    <w:rsid w:val="00506A37"/>
    <w:rsid w:val="0059609A"/>
    <w:rsid w:val="00597659"/>
    <w:rsid w:val="005B6476"/>
    <w:rsid w:val="005D1700"/>
    <w:rsid w:val="005D5961"/>
    <w:rsid w:val="005E48A2"/>
    <w:rsid w:val="005E62BE"/>
    <w:rsid w:val="005F0E75"/>
    <w:rsid w:val="00630FB5"/>
    <w:rsid w:val="00636E83"/>
    <w:rsid w:val="006561ED"/>
    <w:rsid w:val="00671428"/>
    <w:rsid w:val="00674D49"/>
    <w:rsid w:val="006A0E5A"/>
    <w:rsid w:val="006F08D8"/>
    <w:rsid w:val="00711813"/>
    <w:rsid w:val="00724E3C"/>
    <w:rsid w:val="00741545"/>
    <w:rsid w:val="00743C46"/>
    <w:rsid w:val="00760B17"/>
    <w:rsid w:val="007655F1"/>
    <w:rsid w:val="007E2ED9"/>
    <w:rsid w:val="007E5B76"/>
    <w:rsid w:val="008038E2"/>
    <w:rsid w:val="008238DF"/>
    <w:rsid w:val="00847A56"/>
    <w:rsid w:val="00857C7B"/>
    <w:rsid w:val="008715F8"/>
    <w:rsid w:val="00885303"/>
    <w:rsid w:val="008909C9"/>
    <w:rsid w:val="00892C2E"/>
    <w:rsid w:val="008A13FC"/>
    <w:rsid w:val="008A6658"/>
    <w:rsid w:val="008E3261"/>
    <w:rsid w:val="008F6DAD"/>
    <w:rsid w:val="0090398A"/>
    <w:rsid w:val="00903C15"/>
    <w:rsid w:val="00947B77"/>
    <w:rsid w:val="009B53D9"/>
    <w:rsid w:val="009C144A"/>
    <w:rsid w:val="009E2228"/>
    <w:rsid w:val="009F06D6"/>
    <w:rsid w:val="00A132EB"/>
    <w:rsid w:val="00A252D9"/>
    <w:rsid w:val="00A266B4"/>
    <w:rsid w:val="00A34D0A"/>
    <w:rsid w:val="00A65F5C"/>
    <w:rsid w:val="00A71DEF"/>
    <w:rsid w:val="00A87D8B"/>
    <w:rsid w:val="00A946C2"/>
    <w:rsid w:val="00AA29FF"/>
    <w:rsid w:val="00AC7F2C"/>
    <w:rsid w:val="00AE2DA6"/>
    <w:rsid w:val="00AE6C0A"/>
    <w:rsid w:val="00AF1B03"/>
    <w:rsid w:val="00AF2044"/>
    <w:rsid w:val="00B04766"/>
    <w:rsid w:val="00B433A9"/>
    <w:rsid w:val="00B4526A"/>
    <w:rsid w:val="00B53A7F"/>
    <w:rsid w:val="00B704E1"/>
    <w:rsid w:val="00B81390"/>
    <w:rsid w:val="00B82152"/>
    <w:rsid w:val="00BB3333"/>
    <w:rsid w:val="00BC5FCC"/>
    <w:rsid w:val="00BF454A"/>
    <w:rsid w:val="00C132EC"/>
    <w:rsid w:val="00C328B8"/>
    <w:rsid w:val="00C60A71"/>
    <w:rsid w:val="00CE511A"/>
    <w:rsid w:val="00CF323C"/>
    <w:rsid w:val="00D46A59"/>
    <w:rsid w:val="00D55F3B"/>
    <w:rsid w:val="00D575D0"/>
    <w:rsid w:val="00D672D9"/>
    <w:rsid w:val="00D944ED"/>
    <w:rsid w:val="00DA2731"/>
    <w:rsid w:val="00DE51AC"/>
    <w:rsid w:val="00E168EF"/>
    <w:rsid w:val="00E47841"/>
    <w:rsid w:val="00E62474"/>
    <w:rsid w:val="00E76BF8"/>
    <w:rsid w:val="00E8304A"/>
    <w:rsid w:val="00E931A4"/>
    <w:rsid w:val="00EA0F4E"/>
    <w:rsid w:val="00EC693E"/>
    <w:rsid w:val="00EE3216"/>
    <w:rsid w:val="00EF12F3"/>
    <w:rsid w:val="00EF2159"/>
    <w:rsid w:val="00F02477"/>
    <w:rsid w:val="00F90F73"/>
    <w:rsid w:val="00F97620"/>
    <w:rsid w:val="00FA174F"/>
    <w:rsid w:val="00FC21A4"/>
    <w:rsid w:val="00FC4D2E"/>
    <w:rsid w:val="00FD4F06"/>
    <w:rsid w:val="00FD7359"/>
    <w:rsid w:val="00FF1FBD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880902"/>
  <w15:chartTrackingRefBased/>
  <w15:docId w15:val="{59F7F6DE-5AF4-4C38-9F50-E64EDD10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0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0F4E"/>
    <w:rPr>
      <w:rFonts w:ascii="Calibri" w:eastAsiaTheme="minorEastAsia" w:hAnsi="Calibri" w:cs="Calibri"/>
      <w:kern w:val="2"/>
      <w:sz w:val="20"/>
      <w:szCs w:val="20"/>
      <w:lang w:eastAsia="zh-C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F4E"/>
    <w:rPr>
      <w:rFonts w:ascii="Calibri" w:eastAsiaTheme="minorEastAsia" w:hAnsi="Calibri" w:cs="Calibri"/>
      <w:kern w:val="2"/>
      <w14:ligatures w14:val="standardContextual"/>
    </w:rPr>
  </w:style>
  <w:style w:type="paragraph" w:styleId="Revision">
    <w:name w:val="Revision"/>
    <w:hidden/>
    <w:uiPriority w:val="99"/>
    <w:semiHidden/>
    <w:rsid w:val="0090398A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F2C"/>
    <w:rPr>
      <w:rFonts w:ascii="Times New Roman" w:eastAsia="Times New Roman" w:hAnsi="Times New Roman" w:cs="Times New Roman"/>
      <w:b/>
      <w:bCs/>
      <w:kern w:val="0"/>
      <w:lang w:eastAsia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F2C"/>
    <w:rPr>
      <w:rFonts w:ascii="Calibri" w:eastAsiaTheme="minorEastAsia" w:hAnsi="Calibri" w:cs="Calibri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8F5CC-C587-47CE-846C-7A2FE8611D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39445-414F-4690-BA36-8CA7510C86EE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2438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2816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Michelle Tan</dc:creator>
  <cp:keywords/>
  <cp:lastModifiedBy>Michelle Tan</cp:lastModifiedBy>
  <cp:revision>9</cp:revision>
  <cp:lastPrinted>2013-06-13T05:15:00Z</cp:lastPrinted>
  <dcterms:created xsi:type="dcterms:W3CDTF">2025-09-09T02:05:00Z</dcterms:created>
  <dcterms:modified xsi:type="dcterms:W3CDTF">2025-09-12T06:20:00Z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5fa8f5d5-774e-4eb5-a8b0-dce397c76db8</vt:lpwstr>
  </property>
</Properties>
</file>