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0F5" w14:textId="709668A3" w:rsidR="002D652F" w:rsidRPr="002D652F" w:rsidRDefault="002D652F" w:rsidP="00166BF6">
      <w:pPr>
        <w:shd w:val="clear" w:color="auto" w:fill="FFFFFF" w:themeFill="background1"/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2D652F">
        <w:rPr>
          <w:rFonts w:ascii="Calibri" w:hAnsi="Calibri" w:cs="Calibri"/>
          <w:b/>
          <w:bCs/>
          <w:sz w:val="20"/>
          <w:szCs w:val="20"/>
          <w:lang w:val="en-AU"/>
        </w:rPr>
        <w:t>Splice-Driven Signalling Diversity in PAC1 Receptor Isoforms </w:t>
      </w:r>
    </w:p>
    <w:p w14:paraId="4E2C9202" w14:textId="714E1F55" w:rsidR="002D652F" w:rsidRPr="002D652F" w:rsidRDefault="002D652F" w:rsidP="00166BF6">
      <w:pPr>
        <w:shd w:val="clear" w:color="auto" w:fill="FFFFFF" w:themeFill="background1"/>
        <w:jc w:val="both"/>
        <w:rPr>
          <w:rFonts w:ascii="Calibri" w:hAnsi="Calibri" w:cs="Calibri"/>
          <w:sz w:val="20"/>
          <w:szCs w:val="20"/>
          <w:lang w:val="en-AU"/>
        </w:rPr>
      </w:pPr>
      <w:r w:rsidRPr="002D652F">
        <w:rPr>
          <w:rFonts w:ascii="Calibri" w:hAnsi="Calibri" w:cs="Calibri"/>
          <w:sz w:val="20"/>
          <w:szCs w:val="20"/>
          <w:lang w:val="en-AU"/>
        </w:rPr>
        <w:t>Jessica Lu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2D652F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Pr="002D652F">
        <w:rPr>
          <w:rFonts w:ascii="Calibri" w:hAnsi="Calibri" w:cs="Calibri"/>
          <w:sz w:val="20"/>
          <w:szCs w:val="20"/>
          <w:lang w:val="en-AU"/>
        </w:rPr>
        <w:t>Miaomiao</w:t>
      </w:r>
      <w:proofErr w:type="spellEnd"/>
      <w:r w:rsidRPr="002D652F">
        <w:rPr>
          <w:rFonts w:ascii="Calibri" w:hAnsi="Calibri" w:cs="Calibri"/>
          <w:sz w:val="20"/>
          <w:szCs w:val="20"/>
          <w:lang w:val="en-AU"/>
        </w:rPr>
        <w:t xml:space="preserve"> Li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>, Muhammad Abdul Razzak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>, Villy Julita</w:t>
      </w:r>
      <w:r w:rsidRPr="00D5005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>, George Christopoulos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>, Anandhi Anandan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0055">
        <w:rPr>
          <w:rFonts w:ascii="Calibri" w:hAnsi="Calibri" w:cs="Calibri"/>
          <w:sz w:val="20"/>
          <w:szCs w:val="20"/>
          <w:lang w:val="en-AU"/>
        </w:rPr>
        <w:t>Samantha McNeill</w:t>
      </w:r>
      <w:r w:rsidR="00D50055"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50055">
        <w:rPr>
          <w:rFonts w:ascii="Calibri" w:hAnsi="Calibri" w:cs="Calibri"/>
          <w:sz w:val="20"/>
          <w:szCs w:val="20"/>
          <w:lang w:val="en-AU"/>
        </w:rPr>
        <w:t xml:space="preserve">, Laura </w:t>
      </w:r>
      <w:r w:rsidR="00D50055" w:rsidRPr="00D50055">
        <w:rPr>
          <w:rFonts w:ascii="Calibri" w:hAnsi="Calibri" w:cs="Calibri"/>
          <w:sz w:val="20"/>
          <w:szCs w:val="20"/>
          <w:lang w:val="en-AU"/>
        </w:rPr>
        <w:t>Humphrys</w:t>
      </w:r>
      <w:r w:rsidR="00D50055"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5005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2D652F">
        <w:rPr>
          <w:rFonts w:ascii="Calibri" w:hAnsi="Calibri" w:cs="Calibri"/>
          <w:sz w:val="20"/>
          <w:szCs w:val="20"/>
          <w:lang w:val="en-AU"/>
        </w:rPr>
        <w:t>Sarah J. Piper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1,</w:t>
      </w:r>
      <w:proofErr w:type="gramStart"/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2D652F">
        <w:rPr>
          <w:rFonts w:ascii="Calibri" w:hAnsi="Calibri" w:cs="Calibri"/>
          <w:sz w:val="20"/>
          <w:szCs w:val="20"/>
          <w:lang w:val="en-AU"/>
        </w:rPr>
        <w:t>,Patrick</w:t>
      </w:r>
      <w:proofErr w:type="gramEnd"/>
      <w:r w:rsidRPr="002D652F">
        <w:rPr>
          <w:rFonts w:ascii="Calibri" w:hAnsi="Calibri" w:cs="Calibri"/>
          <w:sz w:val="20"/>
          <w:szCs w:val="20"/>
          <w:lang w:val="en-AU"/>
        </w:rPr>
        <w:t xml:space="preserve"> M Sexton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2D652F">
        <w:rPr>
          <w:rFonts w:ascii="Calibri" w:hAnsi="Calibri" w:cs="Calibri"/>
          <w:sz w:val="20"/>
          <w:szCs w:val="20"/>
          <w:lang w:val="en-AU"/>
        </w:rPr>
        <w:t>*, Denise Wootten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2D652F">
        <w:rPr>
          <w:rFonts w:ascii="Calibri" w:hAnsi="Calibri" w:cs="Calibri"/>
          <w:sz w:val="20"/>
          <w:szCs w:val="20"/>
          <w:lang w:val="en-AU"/>
        </w:rPr>
        <w:t xml:space="preserve">*, </w:t>
      </w:r>
      <w:proofErr w:type="spellStart"/>
      <w:r w:rsidRPr="002D652F">
        <w:rPr>
          <w:rFonts w:ascii="Calibri" w:hAnsi="Calibri" w:cs="Calibri"/>
          <w:sz w:val="20"/>
          <w:szCs w:val="20"/>
          <w:lang w:val="en-AU"/>
        </w:rPr>
        <w:t>Peishen</w:t>
      </w:r>
      <w:proofErr w:type="spellEnd"/>
      <w:r w:rsidRPr="002D652F">
        <w:rPr>
          <w:rFonts w:ascii="Calibri" w:hAnsi="Calibri" w:cs="Calibri"/>
          <w:sz w:val="20"/>
          <w:szCs w:val="20"/>
          <w:lang w:val="en-AU"/>
        </w:rPr>
        <w:t xml:space="preserve"> Zhao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2D652F">
        <w:rPr>
          <w:rFonts w:ascii="Calibri" w:hAnsi="Calibri" w:cs="Calibri"/>
          <w:sz w:val="20"/>
          <w:szCs w:val="20"/>
          <w:lang w:val="en-AU"/>
        </w:rPr>
        <w:t>*.</w:t>
      </w:r>
    </w:p>
    <w:p w14:paraId="1B27A766" w14:textId="05B33229" w:rsidR="002D652F" w:rsidRPr="002D652F" w:rsidRDefault="002D652F" w:rsidP="00166BF6">
      <w:pPr>
        <w:shd w:val="clear" w:color="auto" w:fill="FFFFFF" w:themeFill="background1"/>
        <w:jc w:val="both"/>
        <w:rPr>
          <w:rFonts w:ascii="Calibri" w:hAnsi="Calibri" w:cs="Calibri"/>
          <w:sz w:val="20"/>
          <w:szCs w:val="20"/>
          <w:lang w:val="en-AU"/>
        </w:rPr>
      </w:pP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2D652F">
        <w:rPr>
          <w:rFonts w:ascii="Calibri" w:hAnsi="Calibri" w:cs="Calibri"/>
          <w:sz w:val="20"/>
          <w:szCs w:val="20"/>
          <w:lang w:val="en-AU"/>
        </w:rPr>
        <w:t xml:space="preserve"> Drug Discovery Biology, Monash Institute of Pharmaceutical Sciences</w:t>
      </w:r>
      <w:r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2D652F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2D652F">
        <w:rPr>
          <w:rFonts w:ascii="Calibri" w:hAnsi="Calibri" w:cs="Calibri"/>
          <w:sz w:val="20"/>
          <w:szCs w:val="20"/>
          <w:lang w:val="en-AU"/>
        </w:rPr>
        <w:t xml:space="preserve"> ARC Centre for Cryo-electron Microscopy of Membrane Proteins, Monash Institute of Pharmaceutical Sciences, Monash University, Parkville, 3052, VIC, Australia</w:t>
      </w:r>
    </w:p>
    <w:p w14:paraId="4936480E" w14:textId="03DD6576" w:rsidR="00711813" w:rsidRPr="004E5450" w:rsidRDefault="00711813" w:rsidP="00166BF6">
      <w:pPr>
        <w:pStyle w:val="Default"/>
        <w:shd w:val="clear" w:color="auto" w:fill="FFFFFF" w:themeFill="background1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4644C77" w14:textId="56337313" w:rsidR="002D652F" w:rsidRDefault="00711813" w:rsidP="00166BF6">
      <w:pPr>
        <w:shd w:val="clear" w:color="auto" w:fill="FFFFFF" w:themeFill="background1"/>
        <w:jc w:val="both"/>
        <w:rPr>
          <w:color w:val="0D0D0D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 xml:space="preserve">The pituitary </w:t>
      </w:r>
      <w:proofErr w:type="gramStart"/>
      <w:r w:rsidR="002D652F" w:rsidRPr="002D652F">
        <w:rPr>
          <w:rFonts w:ascii="Calibri" w:hAnsi="Calibri" w:cs="Calibri"/>
          <w:sz w:val="20"/>
          <w:szCs w:val="20"/>
          <w:lang w:val="en-AU"/>
        </w:rPr>
        <w:t>adenylate</w:t>
      </w:r>
      <w:proofErr w:type="gramEnd"/>
      <w:r w:rsidR="002D652F" w:rsidRPr="002D652F">
        <w:rPr>
          <w:rFonts w:ascii="Calibri" w:hAnsi="Calibri" w:cs="Calibri"/>
          <w:sz w:val="20"/>
          <w:szCs w:val="20"/>
          <w:lang w:val="en-AU"/>
        </w:rPr>
        <w:t xml:space="preserve"> cyclase activating polypeptide (PACAP) family receptors (PAC1R) are a subfamily of GPCRs that are crucial in regulating many biological processes, including neuronal development, stress response, metabolic homeostasis. PAC1R undergoes alternative splicing at both 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>extracellular domain (ECD)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>and intracellular loop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3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 xml:space="preserve"> (ICL3)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by insertion of one of three cassettes </w:t>
      </w:r>
      <w:r w:rsidR="00F44DE6">
        <w:rPr>
          <w:rFonts w:ascii="Calibri" w:hAnsi="Calibri" w:cs="Calibri"/>
          <w:sz w:val="20"/>
          <w:szCs w:val="20"/>
          <w:lang w:val="en-AU"/>
        </w:rPr>
        <w:t>(-</w:t>
      </w:r>
      <w:r w:rsidR="00BF7A0D">
        <w:rPr>
          <w:rFonts w:ascii="Calibri" w:hAnsi="Calibri" w:cs="Calibri"/>
          <w:sz w:val="20"/>
          <w:szCs w:val="20"/>
          <w:lang w:val="en-AU"/>
        </w:rPr>
        <w:t>hip, -hop, or -</w:t>
      </w:r>
      <w:proofErr w:type="spellStart"/>
      <w:r w:rsidR="00BF7A0D">
        <w:rPr>
          <w:rFonts w:ascii="Calibri" w:hAnsi="Calibri" w:cs="Calibri"/>
          <w:sz w:val="20"/>
          <w:szCs w:val="20"/>
          <w:lang w:val="en-AU"/>
        </w:rPr>
        <w:t>hiphop</w:t>
      </w:r>
      <w:proofErr w:type="spellEnd"/>
      <w:r w:rsidR="00F44DE6">
        <w:rPr>
          <w:rFonts w:ascii="Calibri" w:hAnsi="Calibri" w:cs="Calibri"/>
          <w:sz w:val="20"/>
          <w:szCs w:val="20"/>
          <w:lang w:val="en-AU"/>
        </w:rPr>
        <w:t>)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44DE6">
        <w:rPr>
          <w:rFonts w:ascii="Calibri" w:hAnsi="Calibri" w:cs="Calibri"/>
          <w:sz w:val="20"/>
          <w:szCs w:val="20"/>
          <w:lang w:val="en-AU"/>
        </w:rPr>
        <w:t xml:space="preserve">PAC1R isoforms has been suggested to have 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>distinct expression, and physiological role</w:t>
      </w:r>
      <w:r w:rsidR="00F44DE6">
        <w:rPr>
          <w:rFonts w:ascii="Calibri" w:hAnsi="Calibri" w:cs="Calibri"/>
          <w:sz w:val="20"/>
          <w:szCs w:val="20"/>
          <w:lang w:val="en-AU"/>
        </w:rPr>
        <w:t>s.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4DE6">
        <w:rPr>
          <w:rFonts w:ascii="Calibri" w:hAnsi="Calibri" w:cs="Calibri"/>
          <w:sz w:val="20"/>
          <w:szCs w:val="20"/>
          <w:lang w:val="en-AU"/>
        </w:rPr>
        <w:t>However, a</w:t>
      </w:r>
      <w:r w:rsidR="002D652F" w:rsidRPr="002D65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4DE6">
        <w:rPr>
          <w:rFonts w:ascii="Calibri" w:hAnsi="Calibri" w:cs="Calibri"/>
          <w:sz w:val="20"/>
          <w:szCs w:val="20"/>
          <w:lang w:val="en-AU"/>
        </w:rPr>
        <w:t>mechanistic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understanding of how different combinations of splicing </w:t>
      </w:r>
      <w:r w:rsidR="00F44DE6">
        <w:rPr>
          <w:rFonts w:ascii="Calibri" w:hAnsi="Calibri" w:cs="Calibri"/>
          <w:sz w:val="20"/>
          <w:szCs w:val="20"/>
          <w:lang w:val="en-AU"/>
        </w:rPr>
        <w:t>b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y the ECD and ICL3 alter signalling and regulation by different </w:t>
      </w:r>
      <w:r w:rsidR="00F44DE6">
        <w:rPr>
          <w:rFonts w:ascii="Calibri" w:hAnsi="Calibri" w:cs="Calibri"/>
          <w:sz w:val="20"/>
          <w:szCs w:val="20"/>
          <w:lang w:val="en-AU"/>
        </w:rPr>
        <w:t xml:space="preserve">endogenous 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agonists is </w:t>
      </w:r>
      <w:r w:rsidR="00F44DE6">
        <w:rPr>
          <w:rFonts w:ascii="Calibri" w:hAnsi="Calibri" w:cs="Calibri"/>
          <w:sz w:val="20"/>
          <w:szCs w:val="20"/>
          <w:lang w:val="en-AU"/>
        </w:rPr>
        <w:t xml:space="preserve">still </w:t>
      </w:r>
      <w:r w:rsidR="00A67F9D">
        <w:rPr>
          <w:rFonts w:ascii="Calibri" w:hAnsi="Calibri" w:cs="Calibri"/>
          <w:sz w:val="20"/>
          <w:szCs w:val="20"/>
          <w:lang w:val="en-AU"/>
        </w:rPr>
        <w:t>lacking.</w:t>
      </w:r>
    </w:p>
    <w:p w14:paraId="6C98FB8E" w14:textId="42D4E1C7" w:rsidR="00711813" w:rsidRPr="004E5450" w:rsidRDefault="00711813" w:rsidP="00166BF6">
      <w:pPr>
        <w:shd w:val="clear" w:color="auto" w:fill="FFFFFF" w:themeFill="background1"/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66BF6" w:rsidRPr="00166BF6">
        <w:rPr>
          <w:rFonts w:ascii="Calibri" w:hAnsi="Calibri" w:cs="Calibri"/>
          <w:sz w:val="20"/>
          <w:szCs w:val="20"/>
          <w:lang w:val="en-AU"/>
        </w:rPr>
        <w:t>To define how ICL3 splice variants</w:t>
      </w:r>
      <w:r w:rsidR="00A67F9D">
        <w:rPr>
          <w:rFonts w:ascii="Calibri" w:hAnsi="Calibri" w:cs="Calibri"/>
          <w:sz w:val="20"/>
          <w:szCs w:val="20"/>
          <w:lang w:val="en-AU"/>
        </w:rPr>
        <w:t>, in combination with different ECD splicing</w:t>
      </w:r>
      <w:r w:rsidR="00166BF6" w:rsidRPr="00166BF6">
        <w:rPr>
          <w:rFonts w:ascii="Calibri" w:hAnsi="Calibri" w:cs="Calibri"/>
          <w:sz w:val="20"/>
          <w:szCs w:val="20"/>
          <w:lang w:val="en-AU"/>
        </w:rPr>
        <w:t xml:space="preserve"> shape PAC1R signalling</w:t>
      </w:r>
      <w:r w:rsidR="00A67F9D">
        <w:rPr>
          <w:rFonts w:ascii="Calibri" w:hAnsi="Calibri" w:cs="Calibri"/>
          <w:sz w:val="20"/>
          <w:szCs w:val="20"/>
          <w:lang w:val="en-AU"/>
        </w:rPr>
        <w:t>.</w:t>
      </w:r>
    </w:p>
    <w:p w14:paraId="43F760AF" w14:textId="48E7CA48" w:rsidR="00711813" w:rsidRPr="00004796" w:rsidRDefault="00711813" w:rsidP="00166BF6">
      <w:pPr>
        <w:shd w:val="clear" w:color="auto" w:fill="FFFFFF" w:themeFill="background1"/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PAC1R splice isoforms were transiently expressed in COS-7 cells. </w:t>
      </w:r>
      <w:r w:rsidR="00A67F9D">
        <w:rPr>
          <w:rFonts w:ascii="Calibri" w:hAnsi="Calibri" w:cs="Calibri"/>
          <w:sz w:val="20"/>
          <w:szCs w:val="20"/>
          <w:lang w:val="en-AU"/>
        </w:rPr>
        <w:t>G protein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7F9D">
        <w:rPr>
          <w:rFonts w:ascii="Calibri" w:hAnsi="Calibri" w:cs="Calibri"/>
          <w:sz w:val="20"/>
          <w:szCs w:val="20"/>
          <w:lang w:val="en-AU"/>
        </w:rPr>
        <w:t>activation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>, β-</w:t>
      </w:r>
      <w:proofErr w:type="spellStart"/>
      <w:r w:rsidR="00004796" w:rsidRPr="00004796">
        <w:rPr>
          <w:rFonts w:ascii="Calibri" w:hAnsi="Calibri" w:cs="Calibri"/>
          <w:sz w:val="20"/>
          <w:szCs w:val="20"/>
          <w:lang w:val="en-AU"/>
        </w:rPr>
        <w:t>arrestin</w:t>
      </w:r>
      <w:proofErr w:type="spellEnd"/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recruitment, and receptor trafficking were measured using BRET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assays. </w:t>
      </w:r>
      <w:r w:rsidR="00F44DE6">
        <w:rPr>
          <w:rFonts w:ascii="Calibri" w:hAnsi="Calibri" w:cs="Calibri"/>
          <w:sz w:val="20"/>
          <w:szCs w:val="20"/>
          <w:lang w:val="en-AU"/>
        </w:rPr>
        <w:t>Ligand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-mediated cAMP production, </w:t>
      </w:r>
      <w:r w:rsidR="00D50055">
        <w:rPr>
          <w:rFonts w:ascii="Calibri" w:hAnsi="Calibri" w:cs="Calibri"/>
          <w:sz w:val="20"/>
          <w:szCs w:val="20"/>
          <w:lang w:val="en-AU"/>
        </w:rPr>
        <w:t>iCa</w:t>
      </w:r>
      <w:r w:rsidR="00D50055" w:rsidRPr="00D50055">
        <w:rPr>
          <w:rFonts w:ascii="Calibri" w:hAnsi="Calibri" w:cs="Calibri"/>
          <w:sz w:val="20"/>
          <w:szCs w:val="20"/>
          <w:vertAlign w:val="superscript"/>
          <w:lang w:val="en-AU"/>
        </w:rPr>
        <w:t>2+</w:t>
      </w:r>
      <w:r w:rsidR="00D50055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D50055" w:rsidRPr="00D50055">
        <w:rPr>
          <w:rFonts w:ascii="Calibri" w:hAnsi="Calibri" w:cs="Calibri"/>
          <w:sz w:val="20"/>
          <w:szCs w:val="20"/>
          <w:lang w:val="en-AU"/>
        </w:rPr>
        <w:t>mobilisation</w:t>
      </w:r>
      <w:r w:rsidR="00004796" w:rsidRPr="00D50055">
        <w:rPr>
          <w:rFonts w:ascii="Calibri" w:hAnsi="Calibri" w:cs="Calibri"/>
          <w:sz w:val="20"/>
          <w:szCs w:val="20"/>
          <w:lang w:val="en-AU"/>
        </w:rPr>
        <w:t>,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and ERK</w:t>
      </w:r>
      <w:r w:rsidR="00A67F9D">
        <w:rPr>
          <w:rFonts w:ascii="Calibri" w:hAnsi="Calibri" w:cs="Calibri"/>
          <w:sz w:val="20"/>
          <w:szCs w:val="20"/>
          <w:lang w:val="en-AU"/>
        </w:rPr>
        <w:t>1/2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phosphorylation</w:t>
      </w:r>
      <w:r w:rsidR="00B72896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0B72896">
        <w:rPr>
          <w:rFonts w:ascii="Calibri" w:hAnsi="Calibri" w:cs="Calibri"/>
          <w:sz w:val="20"/>
          <w:szCs w:val="20"/>
          <w:lang w:val="en-AU"/>
        </w:rPr>
        <w:t>pERK</w:t>
      </w:r>
      <w:proofErr w:type="spellEnd"/>
      <w:r w:rsidR="00B72896">
        <w:rPr>
          <w:rFonts w:ascii="Calibri" w:hAnsi="Calibri" w:cs="Calibri"/>
          <w:sz w:val="20"/>
          <w:szCs w:val="20"/>
          <w:lang w:val="en-AU"/>
        </w:rPr>
        <w:t>)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were monitored </w:t>
      </w:r>
      <w:r w:rsidR="00642B05">
        <w:rPr>
          <w:rFonts w:ascii="Calibri" w:hAnsi="Calibri" w:cs="Calibri"/>
          <w:sz w:val="20"/>
          <w:szCs w:val="20"/>
          <w:lang w:val="en-AU"/>
        </w:rPr>
        <w:t xml:space="preserve">in real-time </w:t>
      </w:r>
      <w:r w:rsidR="00004796">
        <w:rPr>
          <w:rFonts w:ascii="Calibri" w:hAnsi="Calibri" w:cs="Calibri"/>
          <w:sz w:val="20"/>
          <w:szCs w:val="20"/>
          <w:lang w:val="en-AU"/>
        </w:rPr>
        <w:t>using biosensors</w:t>
      </w:r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. Biased agonism was quantified using the operational model of agonism with </w:t>
      </w:r>
      <w:proofErr w:type="spellStart"/>
      <w:r w:rsidR="00004796" w:rsidRPr="00004796">
        <w:rPr>
          <w:rFonts w:ascii="Calibri" w:hAnsi="Calibri" w:cs="Calibri"/>
          <w:sz w:val="20"/>
          <w:szCs w:val="20"/>
          <w:lang w:val="en-AU"/>
        </w:rPr>
        <w:t>Gs</w:t>
      </w:r>
      <w:proofErr w:type="spellEnd"/>
      <w:r w:rsidR="00004796" w:rsidRPr="00004796">
        <w:rPr>
          <w:rFonts w:ascii="Calibri" w:hAnsi="Calibri" w:cs="Calibri"/>
          <w:sz w:val="20"/>
          <w:szCs w:val="20"/>
          <w:lang w:val="en-AU"/>
        </w:rPr>
        <w:t xml:space="preserve"> and PACAP38 as the reference transducer and ligand</w:t>
      </w:r>
      <w:r w:rsidR="00A67F9D">
        <w:rPr>
          <w:rFonts w:ascii="Calibri" w:hAnsi="Calibri" w:cs="Calibri"/>
          <w:sz w:val="20"/>
          <w:szCs w:val="20"/>
          <w:lang w:val="en-AU"/>
        </w:rPr>
        <w:t>.</w:t>
      </w:r>
    </w:p>
    <w:p w14:paraId="72559665" w14:textId="38BBB038" w:rsidR="0002675D" w:rsidRPr="00A44A2B" w:rsidRDefault="00711813" w:rsidP="00A44A2B">
      <w:pPr>
        <w:shd w:val="clear" w:color="auto" w:fill="FFFFFF" w:themeFill="background1"/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ICL3 splicing led to distinct G protein dissociation profiles, which were reflected in downstream cAMP production, </w:t>
      </w:r>
      <w:r w:rsidR="00B72896">
        <w:rPr>
          <w:rFonts w:ascii="Calibri" w:hAnsi="Calibri" w:cs="Calibri"/>
          <w:sz w:val="20"/>
          <w:szCs w:val="20"/>
          <w:lang w:val="en-AU"/>
        </w:rPr>
        <w:t>iCa</w:t>
      </w:r>
      <w:r w:rsidR="00B72896" w:rsidRPr="00D50055">
        <w:rPr>
          <w:rFonts w:ascii="Calibri" w:hAnsi="Calibri" w:cs="Calibri"/>
          <w:sz w:val="20"/>
          <w:szCs w:val="20"/>
          <w:vertAlign w:val="superscript"/>
          <w:lang w:val="en-AU"/>
        </w:rPr>
        <w:t>2+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mobilisation, and </w:t>
      </w:r>
      <w:proofErr w:type="spellStart"/>
      <w:r w:rsidR="00B72896">
        <w:rPr>
          <w:rFonts w:ascii="Calibri" w:hAnsi="Calibri" w:cs="Calibri"/>
          <w:sz w:val="20"/>
          <w:szCs w:val="20"/>
          <w:lang w:val="en-AU"/>
        </w:rPr>
        <w:t>pERL</w:t>
      </w:r>
      <w:proofErr w:type="spellEnd"/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. The hip </w:t>
      </w:r>
      <w:r w:rsidR="00A67F9D">
        <w:rPr>
          <w:rFonts w:ascii="Calibri" w:hAnsi="Calibri" w:cs="Calibri"/>
          <w:sz w:val="20"/>
          <w:szCs w:val="20"/>
          <w:lang w:val="en-AU"/>
        </w:rPr>
        <w:t>cassette in ICL3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generally reduced receptor signalling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compared to no ICL3 cassettes (null)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across all ligands. In contrast</w:t>
      </w:r>
      <w:r w:rsidR="00B72896">
        <w:rPr>
          <w:rFonts w:ascii="Calibri" w:hAnsi="Calibri" w:cs="Calibri"/>
          <w:sz w:val="20"/>
          <w:szCs w:val="20"/>
          <w:lang w:val="en-AU"/>
        </w:rPr>
        <w:t>,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the hop isoforms exhibited pathway- and ligand-selective signalling responses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compared to null isoforms</w:t>
      </w:r>
      <w:r w:rsidR="00B72896">
        <w:rPr>
          <w:rFonts w:ascii="Calibri" w:hAnsi="Calibri" w:cs="Calibri"/>
          <w:sz w:val="20"/>
          <w:szCs w:val="20"/>
          <w:lang w:val="en-AU"/>
        </w:rPr>
        <w:t xml:space="preserve"> which is also ECD splicing dependent. 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Interestingly, the combined hip-hop isoform (PAC1R-hiphop) displayed either hip-like or 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null-like 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pharmacological profiles </w:t>
      </w:r>
      <w:r w:rsidR="00B72896">
        <w:rPr>
          <w:rFonts w:ascii="Calibri" w:hAnsi="Calibri" w:cs="Calibri"/>
          <w:sz w:val="20"/>
          <w:szCs w:val="20"/>
          <w:lang w:val="en-AU"/>
        </w:rPr>
        <w:t>depending on the ligand- and pathway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>, suggesting a coordinated influence of ligand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receptor isoform on signalling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and regulatory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outcomes.</w:t>
      </w:r>
    </w:p>
    <w:p w14:paraId="64A930E0" w14:textId="6FC488A1" w:rsidR="00F97620" w:rsidRPr="004E5450" w:rsidRDefault="00711813" w:rsidP="00B72896">
      <w:pPr>
        <w:shd w:val="clear" w:color="auto" w:fill="FFFFFF"/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2B05">
        <w:rPr>
          <w:rFonts w:ascii="Calibri" w:hAnsi="Calibri" w:cs="Calibri"/>
          <w:sz w:val="20"/>
          <w:szCs w:val="20"/>
          <w:lang w:val="en-AU"/>
        </w:rPr>
        <w:t>P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>harmacological analysis revealed isoform-specific cellular signalling profiles, indicating that ICL3 is a crucial element in PAC1R function.</w:t>
      </w:r>
      <w:r w:rsidR="00A67F9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4A2B">
        <w:rPr>
          <w:rFonts w:ascii="Calibri" w:hAnsi="Calibri" w:cs="Calibri"/>
          <w:sz w:val="20"/>
          <w:szCs w:val="20"/>
          <w:lang w:val="en-AU"/>
        </w:rPr>
        <w:t>Although lacking structural information, t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he distinct amino acid compositions of the hip and hop cassettes </w:t>
      </w:r>
      <w:r w:rsidR="00642B05">
        <w:rPr>
          <w:rFonts w:ascii="Calibri" w:hAnsi="Calibri" w:cs="Calibri"/>
          <w:sz w:val="20"/>
          <w:szCs w:val="20"/>
          <w:lang w:val="en-AU"/>
        </w:rPr>
        <w:t xml:space="preserve">may 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underlie the observed differences in signalling profiles, supporting a model where </w:t>
      </w:r>
      <w:r w:rsidR="00A67F9D">
        <w:rPr>
          <w:rFonts w:ascii="Calibri" w:hAnsi="Calibri" w:cs="Calibri"/>
          <w:sz w:val="20"/>
          <w:szCs w:val="20"/>
          <w:lang w:val="en-AU"/>
        </w:rPr>
        <w:t>PAC1R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 splicing fine-tunes </w:t>
      </w:r>
      <w:r w:rsidR="00A67F9D">
        <w:rPr>
          <w:rFonts w:ascii="Calibri" w:hAnsi="Calibri" w:cs="Calibri"/>
          <w:sz w:val="20"/>
          <w:szCs w:val="20"/>
          <w:lang w:val="en-AU"/>
        </w:rPr>
        <w:t>ligand-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 xml:space="preserve">receptor-transducer coupling and downstream </w:t>
      </w:r>
      <w:r w:rsidR="00A67F9D">
        <w:rPr>
          <w:rFonts w:ascii="Calibri" w:hAnsi="Calibri" w:cs="Calibri"/>
          <w:sz w:val="20"/>
          <w:szCs w:val="20"/>
          <w:lang w:val="en-AU"/>
        </w:rPr>
        <w:t>signalling and regulation</w:t>
      </w:r>
      <w:r w:rsidR="00A44A2B" w:rsidRPr="00A44A2B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796"/>
    <w:rsid w:val="0002675D"/>
    <w:rsid w:val="000A4FA6"/>
    <w:rsid w:val="00166BF6"/>
    <w:rsid w:val="0020109A"/>
    <w:rsid w:val="002226BB"/>
    <w:rsid w:val="002272B0"/>
    <w:rsid w:val="002D652F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42B05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44A2B"/>
    <w:rsid w:val="00A67F9D"/>
    <w:rsid w:val="00A71DEF"/>
    <w:rsid w:val="00AE2DA6"/>
    <w:rsid w:val="00B72896"/>
    <w:rsid w:val="00BC5FCC"/>
    <w:rsid w:val="00BF7A0D"/>
    <w:rsid w:val="00C132EC"/>
    <w:rsid w:val="00C60A71"/>
    <w:rsid w:val="00D50055"/>
    <w:rsid w:val="00D55F3B"/>
    <w:rsid w:val="00DA2731"/>
    <w:rsid w:val="00DA2FC0"/>
    <w:rsid w:val="00EF12F3"/>
    <w:rsid w:val="00F02477"/>
    <w:rsid w:val="00F44DE6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1B905"/>
  <w15:chartTrackingRefBased/>
  <w15:docId w15:val="{A1B66CAA-6057-F641-B68D-3042179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2909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Elva Zhao</cp:lastModifiedBy>
  <cp:revision>2</cp:revision>
  <cp:lastPrinted>2013-06-13T05:15:00Z</cp:lastPrinted>
  <dcterms:created xsi:type="dcterms:W3CDTF">2025-09-15T04:34:00Z</dcterms:created>
  <dcterms:modified xsi:type="dcterms:W3CDTF">2025-09-15T04:34:00Z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