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77E386B3" w:rsidR="00C315D2" w:rsidRPr="00C315D2" w:rsidRDefault="0096596A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96596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Analysis of particle and cellular uptake characteristics </w:t>
      </w:r>
      <w:r w:rsidR="002316A6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of n</w:t>
      </w:r>
      <w:r w:rsidRPr="0096596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euron- or microglia-derived EVs for microglia</w:t>
      </w:r>
      <w:r w:rsidR="002316A6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-</w:t>
      </w:r>
      <w:r w:rsidRPr="0096596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targeted therapy</w:t>
      </w:r>
    </w:p>
    <w:p w14:paraId="7FF4AE83" w14:textId="01EAB97D" w:rsidR="0096596A" w:rsidRPr="0096596A" w:rsidRDefault="0096596A" w:rsidP="0096596A">
      <w:pPr>
        <w:spacing w:after="0" w:line="240" w:lineRule="auto"/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</w:pPr>
      <w:r w:rsidRPr="0096596A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Takuto Namba</w:t>
      </w:r>
      <w:r w:rsidRPr="00A6018F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1</w:t>
      </w:r>
      <w:r w:rsidRPr="00A6018F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,</w:t>
      </w:r>
      <w:r w:rsidRPr="00C514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Hiro Matsushita</w:t>
      </w:r>
      <w:r w:rsidRPr="00C5145C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C514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Yasuhiro Kosug</w:t>
      </w:r>
      <w:r w:rsidR="00F203D4">
        <w:rPr>
          <w:rFonts w:ascii="Arial" w:eastAsia="ＭＳ 明朝" w:hAnsi="Arial" w:cs="Arial" w:hint="eastAsia"/>
          <w:bCs/>
          <w:kern w:val="0"/>
          <w:sz w:val="20"/>
          <w:szCs w:val="20"/>
          <w:lang w:eastAsia="ja-JP"/>
          <w14:ligatures w14:val="none"/>
        </w:rPr>
        <w:t>e</w:t>
      </w:r>
      <w:r w:rsidRPr="00C5145C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C514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Takanori Kanazawa</w:t>
      </w:r>
      <w:r w:rsidRPr="00C5145C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1,3</w:t>
      </w:r>
      <w:r w:rsidRPr="00C5145C">
        <w:rPr>
          <w:rFonts w:ascii="Arial" w:eastAsia="Calibri" w:hAnsi="Arial" w:cs="Calibri"/>
          <w:bCs/>
          <w:kern w:val="0"/>
          <w:sz w:val="20"/>
          <w:szCs w:val="20"/>
          <w:u w:val="single"/>
          <w14:ligatures w14:val="none"/>
        </w:rPr>
        <w:t xml:space="preserve"> </w:t>
      </w:r>
    </w:p>
    <w:p w14:paraId="18A1E51F" w14:textId="1B24B72B" w:rsidR="00A6018F" w:rsidRPr="00C5145C" w:rsidRDefault="0096596A" w:rsidP="0096596A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C5145C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Graduate School of</w:t>
      </w:r>
      <w:r w:rsidR="004669B3" w:rsidRPr="00C5145C">
        <w:rPr>
          <w:rFonts w:ascii="Arial" w:eastAsia="ＭＳ 明朝" w:hAnsi="Arial" w:cs="Arial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A917B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B</w:t>
      </w:r>
      <w:r w:rsidRPr="00C5145C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iomedical Sciences, Tokushima University</w:t>
      </w:r>
      <w:r w:rsidR="00A6018F" w:rsidRPr="00C5145C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A6018F" w:rsidRPr="00C514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Tokushima, </w:t>
      </w:r>
      <w:proofErr w:type="gramStart"/>
      <w:r w:rsidR="00A6018F" w:rsidRPr="00C514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Japan</w:t>
      </w:r>
      <w:r w:rsidR="00C514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;</w:t>
      </w:r>
      <w:proofErr w:type="gramEnd"/>
    </w:p>
    <w:p w14:paraId="39145439" w14:textId="14F286F5" w:rsidR="0096596A" w:rsidRPr="00C5145C" w:rsidRDefault="0096596A" w:rsidP="0096596A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C514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Pharmacy, Nihon University</w:t>
      </w:r>
      <w:r w:rsidR="00A6018F" w:rsidRPr="00C5145C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 w:rsidR="00A6018F" w:rsidRPr="00C514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2316A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Chiba</w:t>
      </w:r>
      <w:r w:rsidR="00A6018F" w:rsidRPr="00C514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proofErr w:type="gramStart"/>
      <w:r w:rsidR="00A6018F" w:rsidRPr="00C514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Japan</w:t>
      </w:r>
      <w:r w:rsidR="00C514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;</w:t>
      </w:r>
      <w:proofErr w:type="gramEnd"/>
    </w:p>
    <w:p w14:paraId="7FDC5719" w14:textId="2B781754" w:rsidR="004669B3" w:rsidRPr="00A6018F" w:rsidRDefault="0096596A" w:rsidP="0096596A">
      <w:pPr>
        <w:spacing w:after="0" w:line="240" w:lineRule="auto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  <w:r w:rsidRPr="00C514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Innovative Research </w:t>
      </w:r>
      <w:proofErr w:type="spellStart"/>
      <w:r w:rsidR="00785547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</w:t>
      </w:r>
      <w:r w:rsidR="00C5145C" w:rsidRPr="00C514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ente</w:t>
      </w:r>
      <w:r w:rsidR="00323334" w:rsidRPr="00323334">
        <w:rPr>
          <w:rFonts w:ascii="Arial" w:eastAsia="ＭＳ 明朝" w:hAnsi="Arial" w:cs="Arial"/>
          <w:bCs/>
          <w:kern w:val="0"/>
          <w:sz w:val="20"/>
          <w:szCs w:val="20"/>
          <w:lang w:eastAsia="ja-JP"/>
          <w14:ligatures w14:val="none"/>
        </w:rPr>
        <w:t>r</w:t>
      </w:r>
      <w:proofErr w:type="spellEnd"/>
      <w:r w:rsidRPr="00C514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 Drug Delivery System, Tokushima University</w:t>
      </w:r>
      <w:r w:rsidR="00A6018F" w:rsidRPr="00C5145C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 w:rsidR="00A6018F" w:rsidRPr="00C514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Tokushima, Japan.</w:t>
      </w:r>
    </w:p>
    <w:p w14:paraId="2DD37039" w14:textId="37696AA2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2385039D" w14:textId="1FB5E4F0" w:rsidR="00C315D2" w:rsidRPr="00A51211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In recent years, the development of novel therapies targeting microglia, which 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>plays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>a role in maintaining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homeostasis in the brain, 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>has been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>promising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for cranial 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>neurological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diseases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. 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O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n the other hand, 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extracellular </w:t>
      </w:r>
      <w:proofErr w:type="spellStart"/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vesicles</w:t>
      </w:r>
      <w:proofErr w:type="spellEnd"/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(EVs) have been reported as a 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biological 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intercellular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 regulation system with tropism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to specific organs and cells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 in a body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In this study,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 to investigate 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 development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 of novel microglia-targeted therapy, neuron-</w:t>
      </w:r>
      <w:r w:rsidR="00D929FB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and microglia-derived EVs with </w:t>
      </w:r>
      <w:r w:rsidR="00A51211" w:rsidRPr="00A512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focus</w:t>
      </w:r>
      <w:r w:rsidR="00A51211" w:rsidRPr="00A51211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 on particle and cellular uptake characteristics</w:t>
      </w:r>
      <w:r w:rsidR="003F5602">
        <w:rPr>
          <w:rFonts w:ascii="ＭＳ 明朝" w:eastAsia="ＭＳ 明朝" w:hAnsi="ＭＳ 明朝" w:cs="ＭＳ 明朝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D929FB" w:rsidRPr="003F5602">
        <w:rPr>
          <w:rFonts w:ascii="Arial" w:eastAsia="ＭＳ 明朝" w:hAnsi="Arial" w:cs="Arial"/>
          <w:bCs/>
          <w:kern w:val="0"/>
          <w:sz w:val="20"/>
          <w:szCs w:val="20"/>
          <w:lang w:val="en-US" w:eastAsia="ja-JP"/>
          <w14:ligatures w14:val="none"/>
        </w:rPr>
        <w:t xml:space="preserve">were </w:t>
      </w:r>
      <w:proofErr w:type="spellStart"/>
      <w:r w:rsidR="00D929FB" w:rsidRPr="003F5602">
        <w:rPr>
          <w:rFonts w:ascii="Arial" w:eastAsia="ＭＳ 明朝" w:hAnsi="Arial" w:cs="Arial"/>
          <w:bCs/>
          <w:kern w:val="0"/>
          <w:sz w:val="20"/>
          <w:szCs w:val="20"/>
          <w:lang w:val="en-US" w:eastAsia="ja-JP"/>
          <w14:ligatures w14:val="none"/>
        </w:rPr>
        <w:t>analysed</w:t>
      </w:r>
      <w:proofErr w:type="spellEnd"/>
      <w:r w:rsidR="00A51211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0264280A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="0096596A" w:rsidRPr="0096596A">
        <w:rPr>
          <w:rFonts w:ascii="Arial" w:hAnsi="Arial" w:cs="Arial"/>
          <w:sz w:val="21"/>
        </w:rPr>
        <w:t xml:space="preserve"> </w:t>
      </w:r>
      <w:r w:rsidR="0096596A" w:rsidRPr="0096596A">
        <w:rPr>
          <w:rFonts w:ascii="Arial" w:hAnsi="Arial" w:cs="Arial"/>
          <w:sz w:val="20"/>
          <w:szCs w:val="20"/>
        </w:rPr>
        <w:t xml:space="preserve">EVs were collected by ultracentrifugation from acclimation medium of mouse neuroblast (Neuro2a) and microglia (BV2). The expression of </w:t>
      </w:r>
      <w:proofErr w:type="spellStart"/>
      <w:r w:rsidR="0096596A" w:rsidRPr="0096596A">
        <w:rPr>
          <w:rFonts w:ascii="Arial" w:hAnsi="Arial" w:cs="Arial"/>
          <w:sz w:val="20"/>
          <w:szCs w:val="20"/>
        </w:rPr>
        <w:t>exosomal</w:t>
      </w:r>
      <w:proofErr w:type="spellEnd"/>
      <w:r w:rsidR="0096596A" w:rsidRPr="0096596A">
        <w:rPr>
          <w:rFonts w:ascii="Arial" w:hAnsi="Arial" w:cs="Arial"/>
          <w:sz w:val="20"/>
          <w:szCs w:val="20"/>
        </w:rPr>
        <w:t xml:space="preserve"> markers in each EVs was confirmed by Western blot analysis. Particle properties and protein amounts of EVs were </w:t>
      </w:r>
      <w:r w:rsidR="00D929FB" w:rsidRPr="0096596A">
        <w:rPr>
          <w:rFonts w:ascii="Arial" w:hAnsi="Arial" w:cs="Arial"/>
          <w:sz w:val="20"/>
          <w:szCs w:val="20"/>
        </w:rPr>
        <w:t>analysed</w:t>
      </w:r>
      <w:r w:rsidR="0096596A" w:rsidRPr="0096596A">
        <w:rPr>
          <w:rFonts w:ascii="Arial" w:hAnsi="Arial" w:cs="Arial"/>
          <w:sz w:val="20"/>
          <w:szCs w:val="20"/>
        </w:rPr>
        <w:t xml:space="preserve"> by NTA and BCA protein assay. Cellular uptake into Neuro-2a and BV2 was evaluated by observation of fluorescently labelled EVs by fluorescence microscopy. EVs derived from each cell stimulated with LPS were also analysed to investigate the effects of inflammation.</w:t>
      </w:r>
      <w:r w:rsidRPr="009659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4763673E" w14:textId="194A34F1" w:rsidR="0096596A" w:rsidRPr="0096596A" w:rsidRDefault="00795378" w:rsidP="0096596A">
      <w:pPr>
        <w:spacing w:after="0" w:line="240" w:lineRule="auto"/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96596A" w:rsidRPr="0096596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Collected EVs were confirmed as expressing CD9, CD63, CD81 and Tsg101 and showed 100-150 nm. The protein content of BV2-derived EVs was about 2-fold higher than that of Neuro2a-derived EVs. Both EVs exhibited higher uptake into Neuro2a than into BV2. The uptake into Neuro2a was about 1.7-fold higher in BV2-derived EVs than in Neuro2a-derived EVs. In contrast, the uptake into BV2 stimulated by LPS was significantly increased of both EVs than </w:t>
      </w:r>
      <w:r w:rsidR="00D929FB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that </w:t>
      </w:r>
      <w:r w:rsidR="0096596A" w:rsidRPr="0096596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into non-stimulated BV2, and the highest uptake was observed by Neuro2a-derived EVs. These results indicate that EVs secreted from </w:t>
      </w:r>
      <w:r w:rsidR="00D929FB" w:rsidRPr="0096596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neur</w:t>
      </w:r>
      <w:r w:rsidR="00D929FB">
        <w:rPr>
          <w:rFonts w:ascii="Arial" w:hAnsi="Arial" w:cs="Arial"/>
          <w:kern w:val="0"/>
          <w:sz w:val="20"/>
          <w:szCs w:val="20"/>
          <w:lang w:val="en-US" w:eastAsia="ja-JP"/>
          <w14:ligatures w14:val="none"/>
        </w:rPr>
        <w:t>ons</w:t>
      </w:r>
      <w:r w:rsidR="0096596A" w:rsidRPr="0096596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D929FB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>would</w:t>
      </w:r>
      <w:r w:rsidR="0096596A" w:rsidRPr="0096596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be a useful tool for microglia-targeted therapy.</w:t>
      </w:r>
    </w:p>
    <w:p w14:paraId="7D6E388F" w14:textId="4B7C9B20" w:rsidR="00113BB7" w:rsidRPr="00D929FB" w:rsidRDefault="00113BB7" w:rsidP="0096596A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sectPr w:rsidR="00113BB7" w:rsidRPr="00D92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534F" w14:textId="77777777" w:rsidR="00967A8E" w:rsidRDefault="00967A8E" w:rsidP="002316A6">
      <w:pPr>
        <w:spacing w:after="0" w:line="240" w:lineRule="auto"/>
      </w:pPr>
      <w:r>
        <w:separator/>
      </w:r>
    </w:p>
  </w:endnote>
  <w:endnote w:type="continuationSeparator" w:id="0">
    <w:p w14:paraId="12F7FB41" w14:textId="77777777" w:rsidR="00967A8E" w:rsidRDefault="00967A8E" w:rsidP="0023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12CB" w14:textId="77777777" w:rsidR="00967A8E" w:rsidRDefault="00967A8E" w:rsidP="002316A6">
      <w:pPr>
        <w:spacing w:after="0" w:line="240" w:lineRule="auto"/>
      </w:pPr>
      <w:r>
        <w:separator/>
      </w:r>
    </w:p>
  </w:footnote>
  <w:footnote w:type="continuationSeparator" w:id="0">
    <w:p w14:paraId="4CD40C49" w14:textId="77777777" w:rsidR="00967A8E" w:rsidRDefault="00967A8E" w:rsidP="00231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57C06"/>
    <w:rsid w:val="00107368"/>
    <w:rsid w:val="00113BB7"/>
    <w:rsid w:val="002017E6"/>
    <w:rsid w:val="00206008"/>
    <w:rsid w:val="002316A6"/>
    <w:rsid w:val="00266C61"/>
    <w:rsid w:val="00285906"/>
    <w:rsid w:val="00294059"/>
    <w:rsid w:val="002F5A33"/>
    <w:rsid w:val="003206E4"/>
    <w:rsid w:val="00323334"/>
    <w:rsid w:val="003A6D5C"/>
    <w:rsid w:val="003F5602"/>
    <w:rsid w:val="004669B3"/>
    <w:rsid w:val="004A51B6"/>
    <w:rsid w:val="00510CF8"/>
    <w:rsid w:val="00575A29"/>
    <w:rsid w:val="00601754"/>
    <w:rsid w:val="006A34BE"/>
    <w:rsid w:val="006D0DC9"/>
    <w:rsid w:val="006F3F1C"/>
    <w:rsid w:val="007141F2"/>
    <w:rsid w:val="007561D8"/>
    <w:rsid w:val="00785547"/>
    <w:rsid w:val="00795378"/>
    <w:rsid w:val="00796206"/>
    <w:rsid w:val="007C367E"/>
    <w:rsid w:val="00806232"/>
    <w:rsid w:val="008071C5"/>
    <w:rsid w:val="00862B70"/>
    <w:rsid w:val="00901759"/>
    <w:rsid w:val="00906D34"/>
    <w:rsid w:val="00933DC9"/>
    <w:rsid w:val="00936D4C"/>
    <w:rsid w:val="009523F9"/>
    <w:rsid w:val="009650DF"/>
    <w:rsid w:val="0096596A"/>
    <w:rsid w:val="00967A8E"/>
    <w:rsid w:val="009B1CBB"/>
    <w:rsid w:val="00A0516D"/>
    <w:rsid w:val="00A51211"/>
    <w:rsid w:val="00A6018F"/>
    <w:rsid w:val="00A917B1"/>
    <w:rsid w:val="00B4721D"/>
    <w:rsid w:val="00B8473A"/>
    <w:rsid w:val="00C21815"/>
    <w:rsid w:val="00C315D2"/>
    <w:rsid w:val="00C353D8"/>
    <w:rsid w:val="00C37B0D"/>
    <w:rsid w:val="00C5145C"/>
    <w:rsid w:val="00CE0579"/>
    <w:rsid w:val="00CF5A91"/>
    <w:rsid w:val="00D02BB1"/>
    <w:rsid w:val="00D12C60"/>
    <w:rsid w:val="00D35BCE"/>
    <w:rsid w:val="00D45A74"/>
    <w:rsid w:val="00D7428F"/>
    <w:rsid w:val="00D929FB"/>
    <w:rsid w:val="00DE0B07"/>
    <w:rsid w:val="00EC3746"/>
    <w:rsid w:val="00F203D4"/>
    <w:rsid w:val="00F539FB"/>
    <w:rsid w:val="00F85528"/>
    <w:rsid w:val="00FB419F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16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16A6"/>
  </w:style>
  <w:style w:type="paragraph" w:styleId="ac">
    <w:name w:val="footer"/>
    <w:basedOn w:val="a"/>
    <w:link w:val="ad"/>
    <w:uiPriority w:val="99"/>
    <w:unhideWhenUsed/>
    <w:rsid w:val="002316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難波　拓斗</cp:lastModifiedBy>
  <cp:revision>8</cp:revision>
  <dcterms:created xsi:type="dcterms:W3CDTF">2025-05-28T04:44:00Z</dcterms:created>
  <dcterms:modified xsi:type="dcterms:W3CDTF">2025-05-30T04:51:00Z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