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E6A55" w14:textId="66EE2FDF" w:rsidR="00711813" w:rsidRPr="00DB41C2" w:rsidRDefault="00DB41C2" w:rsidP="00DB41C2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>Student Wellbeing: A Community of Practice Staff Survey</w:t>
      </w:r>
    </w:p>
    <w:p w14:paraId="65F20D07" w14:textId="77777777" w:rsidR="00185AC9" w:rsidRPr="00E8451C" w:rsidRDefault="00185AC9" w:rsidP="00E8451C">
      <w:pPr>
        <w:rPr>
          <w:rFonts w:asciiTheme="minorHAnsi" w:hAnsiTheme="minorHAnsi"/>
          <w:sz w:val="20"/>
          <w:szCs w:val="20"/>
          <w:lang w:val="en-AU"/>
        </w:rPr>
      </w:pPr>
    </w:p>
    <w:p w14:paraId="1BB6BA3A" w14:textId="780EFE35" w:rsidR="00CE0A60" w:rsidRPr="00E8451C" w:rsidRDefault="00CE0A60" w:rsidP="00E8451C">
      <w:pPr>
        <w:divId w:val="22558789"/>
        <w:rPr>
          <w:rFonts w:asciiTheme="minorHAnsi" w:hAnsiTheme="minorHAnsi"/>
          <w:sz w:val="20"/>
          <w:szCs w:val="20"/>
        </w:rPr>
      </w:pP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Introduction. The Student Wellbeing Community of Practice (CoP) at UNSW is an Education Focused (EF) group representing nine faculties and four supporting services. </w:t>
      </w:r>
      <w:proofErr w:type="spellStart"/>
      <w:r w:rsidR="00CF1342">
        <w:rPr>
          <w:rStyle w:val="s1"/>
          <w:rFonts w:asciiTheme="minorHAnsi" w:hAnsiTheme="minorHAnsi"/>
          <w:color w:val="000000" w:themeColor="text1"/>
          <w:sz w:val="20"/>
          <w:szCs w:val="20"/>
        </w:rPr>
        <w:t>Recognising</w:t>
      </w:r>
      <w:proofErr w:type="spellEnd"/>
      <w:r w:rsidR="00CF1342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 that student wellbeing requires a ‘whole </w:t>
      </w:r>
      <w:r w:rsidR="009D4902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of </w:t>
      </w:r>
      <w:r w:rsidR="00CF1342">
        <w:rPr>
          <w:rStyle w:val="s1"/>
          <w:rFonts w:asciiTheme="minorHAnsi" w:hAnsiTheme="minorHAnsi"/>
          <w:color w:val="000000" w:themeColor="text1"/>
          <w:sz w:val="20"/>
          <w:szCs w:val="20"/>
        </w:rPr>
        <w:t>university</w:t>
      </w:r>
      <w:r w:rsidR="00932F3B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’ response </w:t>
      </w: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(</w:t>
      </w:r>
      <w:bookmarkStart w:id="0" w:name="_GoBack"/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Headspace, 2016</w:t>
      </w:r>
      <w:bookmarkEnd w:id="0"/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; Red Brick, 2017; HE Advance, 2019)</w:t>
      </w:r>
      <w:r w:rsidR="00932F3B">
        <w:rPr>
          <w:rStyle w:val="s1"/>
          <w:rFonts w:asciiTheme="minorHAnsi" w:hAnsiTheme="minorHAnsi"/>
          <w:color w:val="000000" w:themeColor="text1"/>
          <w:sz w:val="20"/>
          <w:szCs w:val="20"/>
        </w:rPr>
        <w:t>, our</w:t>
      </w: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 study also builds upon current pedagogic research asserting that wellbeing resources need to be integrated into ‘the curriculum environment’ (</w:t>
      </w:r>
      <w:proofErr w:type="spellStart"/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Cranney</w:t>
      </w:r>
      <w:proofErr w:type="spellEnd"/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 et.al. 2016)</w:t>
      </w:r>
      <w:r w:rsidR="00932F3B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. </w:t>
      </w:r>
      <w:r w:rsidR="00AF73AE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Wellbeing resources need to be </w:t>
      </w:r>
      <w:r w:rsidR="0057593D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accessible and </w:t>
      </w:r>
      <w:r w:rsidR="004A2BAA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relevant to students and </w:t>
      </w: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part of the challenge is</w:t>
      </w:r>
      <w:r w:rsidR="004A2BAA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 also</w:t>
      </w: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 ‘to build the capacity of academic educators to… better support student mental wellbeing’ (</w:t>
      </w:r>
      <w:proofErr w:type="spellStart"/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Baik</w:t>
      </w:r>
      <w:proofErr w:type="spellEnd"/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 et al., 2017).</w:t>
      </w:r>
      <w:r w:rsidRPr="00E8451C">
        <w:rPr>
          <w:rStyle w:val="apple-converted-space"/>
          <w:rFonts w:asciiTheme="minorHAnsi" w:hAnsiTheme="minorHAnsi"/>
          <w:color w:val="000000" w:themeColor="text1"/>
          <w:sz w:val="20"/>
          <w:szCs w:val="20"/>
        </w:rPr>
        <w:t> </w:t>
      </w:r>
    </w:p>
    <w:p w14:paraId="4C1316B1" w14:textId="77777777" w:rsidR="00CE0A60" w:rsidRPr="00E8451C" w:rsidRDefault="00CE0A60" w:rsidP="00E8451C">
      <w:pPr>
        <w:divId w:val="22558789"/>
        <w:rPr>
          <w:rFonts w:asciiTheme="minorHAnsi" w:hAnsiTheme="minorHAnsi"/>
          <w:sz w:val="20"/>
          <w:szCs w:val="20"/>
        </w:rPr>
      </w:pP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Aims. Our team seeks creative ways to monitor and enhance student wellbeing at different stages of learning and in various teaching environments. The specific research aims are to: (i) identify resources at UNSW and across the sector that support student wellbeing; (ii) evaluate their practical application and scalability and (iii) recommend how these resources can be integrated into a range of learning environments.</w:t>
      </w:r>
    </w:p>
    <w:p w14:paraId="135A530E" w14:textId="77777777" w:rsidR="00CE0A60" w:rsidRPr="00E8451C" w:rsidRDefault="00CE0A60" w:rsidP="00E8451C">
      <w:pPr>
        <w:divId w:val="22558789"/>
        <w:rPr>
          <w:rFonts w:asciiTheme="minorHAnsi" w:hAnsiTheme="minorHAnsi"/>
          <w:sz w:val="20"/>
          <w:szCs w:val="20"/>
        </w:rPr>
      </w:pP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Methods. Supported by Human Ethics Approval (HC190900), we conducted qualitative research among academic and professional staff. A </w:t>
      </w:r>
      <w:proofErr w:type="spellStart"/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Qualtrics</w:t>
      </w:r>
      <w:proofErr w:type="spellEnd"/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 survey was distributed to forty-six UNSW affiliated personnel. The survey included nine questions which were divided into the three research themes (audit, evaluate and integrate). A smaller cohort volunteered to participate in semi-structured interviews which were transcribed and analysed.</w:t>
      </w:r>
    </w:p>
    <w:p w14:paraId="0B30EFE5" w14:textId="77777777" w:rsidR="00CE0A60" w:rsidRPr="00E8451C" w:rsidRDefault="00CE0A60" w:rsidP="00E8451C">
      <w:pPr>
        <w:divId w:val="22558789"/>
        <w:rPr>
          <w:rFonts w:asciiTheme="minorHAnsi" w:hAnsiTheme="minorHAnsi"/>
          <w:sz w:val="20"/>
          <w:szCs w:val="20"/>
        </w:rPr>
      </w:pP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Results. The main findings from this preliminary phase of the research were that: (i) staff sought higher levels of collaboration and expertise sharing within and across schools and units; (ii) better connections between (city and rural) campuses and other faculties and that (iii) they sought better resources to support certain cohorts of students (civilians at ADFA; indigenous; female) who required more tailored support when developing wellbeing resources.</w:t>
      </w:r>
      <w:r w:rsidRPr="00E8451C">
        <w:rPr>
          <w:rStyle w:val="apple-converted-space"/>
          <w:rFonts w:asciiTheme="minorHAnsi" w:hAnsiTheme="minorHAnsi"/>
          <w:color w:val="000000" w:themeColor="text1"/>
          <w:sz w:val="20"/>
          <w:szCs w:val="20"/>
        </w:rPr>
        <w:t> </w:t>
      </w:r>
    </w:p>
    <w:p w14:paraId="7128E654" w14:textId="3E49A4E4" w:rsidR="00F97620" w:rsidRPr="009A36B5" w:rsidRDefault="00CE0A60" w:rsidP="009A36B5">
      <w:pPr>
        <w:divId w:val="22558789"/>
        <w:rPr>
          <w:rFonts w:asciiTheme="minorHAnsi" w:hAnsiTheme="minorHAnsi"/>
          <w:sz w:val="20"/>
          <w:szCs w:val="20"/>
        </w:rPr>
      </w:pP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Discussion. When asked to consider how wellbeing resources might be better integrated, many respondents found they could identify outstanding individual efforts in the classroom, but observed that there was a lack of overarching structural mechanisms to support pedagogy and student wellbeing. Most respondents also affirmed that a better understanding of students’ opinions and experiences across a range of learning environments was required. </w:t>
      </w:r>
      <w:r w:rsidR="00E13C08">
        <w:rPr>
          <w:rStyle w:val="s1"/>
          <w:rFonts w:asciiTheme="minorHAnsi" w:hAnsiTheme="minorHAnsi"/>
          <w:color w:val="000000" w:themeColor="text1"/>
          <w:sz w:val="20"/>
          <w:szCs w:val="20"/>
        </w:rPr>
        <w:t xml:space="preserve">The next phase of the research will </w:t>
      </w:r>
      <w:r w:rsidRPr="00E8451C">
        <w:rPr>
          <w:rStyle w:val="s1"/>
          <w:rFonts w:asciiTheme="minorHAnsi" w:hAnsiTheme="minorHAnsi"/>
          <w:color w:val="000000" w:themeColor="text1"/>
          <w:sz w:val="20"/>
          <w:szCs w:val="20"/>
        </w:rPr>
        <w:t>explore (a) student attitudes to wellbeing resources and (b) classroom observation on various modes of integrating wellbeing resources into a range of learning environments.</w:t>
      </w:r>
    </w:p>
    <w:sectPr w:rsidR="00F97620" w:rsidRPr="009A36B5" w:rsidSect="00EF12F3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DD10C" w14:textId="77777777" w:rsidR="00AB6D09" w:rsidRDefault="00AB6D09" w:rsidP="00DF58DB">
      <w:r>
        <w:separator/>
      </w:r>
    </w:p>
  </w:endnote>
  <w:endnote w:type="continuationSeparator" w:id="0">
    <w:p w14:paraId="2548E57A" w14:textId="77777777" w:rsidR="00AB6D09" w:rsidRDefault="00AB6D09" w:rsidP="00DF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864B9" w14:textId="77777777" w:rsidR="00AB6D09" w:rsidRDefault="00AB6D09" w:rsidP="00DF58DB">
      <w:r>
        <w:separator/>
      </w:r>
    </w:p>
  </w:footnote>
  <w:footnote w:type="continuationSeparator" w:id="0">
    <w:p w14:paraId="1F9511D4" w14:textId="77777777" w:rsidR="00AB6D09" w:rsidRDefault="00AB6D09" w:rsidP="00DF5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/>
  <w:defaultTabStop w:val="720"/>
  <w:drawingGridHorizontalSpacing w:val="5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185AC9"/>
    <w:rsid w:val="001A6C26"/>
    <w:rsid w:val="002226BB"/>
    <w:rsid w:val="002272B0"/>
    <w:rsid w:val="0024128A"/>
    <w:rsid w:val="00287C7A"/>
    <w:rsid w:val="00300B92"/>
    <w:rsid w:val="00334283"/>
    <w:rsid w:val="00387491"/>
    <w:rsid w:val="003A765B"/>
    <w:rsid w:val="003C3CC6"/>
    <w:rsid w:val="003D15BD"/>
    <w:rsid w:val="00483B05"/>
    <w:rsid w:val="004A2BAA"/>
    <w:rsid w:val="004E28B9"/>
    <w:rsid w:val="004E5450"/>
    <w:rsid w:val="0052658A"/>
    <w:rsid w:val="0057593D"/>
    <w:rsid w:val="00592FE9"/>
    <w:rsid w:val="00595794"/>
    <w:rsid w:val="0059609A"/>
    <w:rsid w:val="00597659"/>
    <w:rsid w:val="005E48A2"/>
    <w:rsid w:val="0060748E"/>
    <w:rsid w:val="006A306F"/>
    <w:rsid w:val="006E40CD"/>
    <w:rsid w:val="00711813"/>
    <w:rsid w:val="00724E3C"/>
    <w:rsid w:val="00743C46"/>
    <w:rsid w:val="0076441B"/>
    <w:rsid w:val="00932F3B"/>
    <w:rsid w:val="00947B77"/>
    <w:rsid w:val="00994146"/>
    <w:rsid w:val="009A36B5"/>
    <w:rsid w:val="009D4902"/>
    <w:rsid w:val="009E2228"/>
    <w:rsid w:val="009F06D6"/>
    <w:rsid w:val="00A266B4"/>
    <w:rsid w:val="00AB6D09"/>
    <w:rsid w:val="00AF73AE"/>
    <w:rsid w:val="00B60C5E"/>
    <w:rsid w:val="00BC5FCC"/>
    <w:rsid w:val="00C60A71"/>
    <w:rsid w:val="00C8591B"/>
    <w:rsid w:val="00CE0A60"/>
    <w:rsid w:val="00CF1342"/>
    <w:rsid w:val="00CF3FBB"/>
    <w:rsid w:val="00D435BE"/>
    <w:rsid w:val="00D55F3B"/>
    <w:rsid w:val="00DA2731"/>
    <w:rsid w:val="00DB41C2"/>
    <w:rsid w:val="00DB658E"/>
    <w:rsid w:val="00DF58DB"/>
    <w:rsid w:val="00E13C08"/>
    <w:rsid w:val="00E8451C"/>
    <w:rsid w:val="00EF12F3"/>
    <w:rsid w:val="00F07291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5B5F3"/>
  <w15:chartTrackingRefBased/>
  <w15:docId w15:val="{D903E701-51AF-1D44-B8D0-BF30E3E63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F5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8D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F5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8DB"/>
    <w:rPr>
      <w:sz w:val="24"/>
      <w:szCs w:val="24"/>
      <w:lang w:val="en-US" w:eastAsia="en-US"/>
    </w:rPr>
  </w:style>
  <w:style w:type="paragraph" w:customStyle="1" w:styleId="p1">
    <w:name w:val="p1"/>
    <w:basedOn w:val="Normal"/>
    <w:rsid w:val="00CE0A60"/>
    <w:pPr>
      <w:shd w:val="clear" w:color="auto" w:fill="000000"/>
    </w:pPr>
    <w:rPr>
      <w:rFonts w:ascii=".SF UI" w:eastAsiaTheme="minorEastAsia" w:hAnsi=".SF UI"/>
      <w:color w:val="F3F2F1"/>
      <w:sz w:val="23"/>
      <w:szCs w:val="23"/>
      <w:lang w:val="en-AU" w:eastAsia="en-GB"/>
    </w:rPr>
  </w:style>
  <w:style w:type="character" w:customStyle="1" w:styleId="s1">
    <w:name w:val="s1"/>
    <w:basedOn w:val="DefaultParagraphFont"/>
    <w:rsid w:val="00CE0A60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apple-converted-space">
    <w:name w:val="apple-converted-space"/>
    <w:basedOn w:val="DefaultParagraphFont"/>
    <w:rsid w:val="00CE0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9416071258E49A60A8DDC50085B79" ma:contentTypeVersion="8" ma:contentTypeDescription="Create a new document." ma:contentTypeScope="" ma:versionID="7de881ac41bba930414645fa44b163e4">
  <xsd:schema xmlns:xsd="http://www.w3.org/2001/XMLSchema" xmlns:xs="http://www.w3.org/2001/XMLSchema" xmlns:p="http://schemas.microsoft.com/office/2006/metadata/properties" xmlns:ns2="6675f298-1364-45cf-8b7c-d9e4ea58f19d" targetNamespace="http://schemas.microsoft.com/office/2006/metadata/properties" ma:root="true" ma:fieldsID="264c8d32402b2a352aaf00a89f60c367" ns2:_="">
    <xsd:import namespace="6675f298-1364-45cf-8b7c-d9e4ea58f1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f298-1364-45cf-8b7c-d9e4ea58f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11D0E-9FA8-4843-B183-9E5C93806A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A45F94-E179-4877-898F-A76A3776808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675f298-1364-45cf-8b7c-d9e4ea58f1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Gavin Mount</cp:lastModifiedBy>
  <cp:revision>31</cp:revision>
  <cp:lastPrinted>2013-06-13T05:15:00Z</cp:lastPrinted>
  <dcterms:created xsi:type="dcterms:W3CDTF">2020-02-07T06:29:00Z</dcterms:created>
  <dcterms:modified xsi:type="dcterms:W3CDTF">2020-02-07T07:22:00Z</dcterms:modified>
</cp:coreProperties>
</file>