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C47A7" w14:textId="16CB6AB1" w:rsidR="00711813" w:rsidRDefault="006D0FAB" w:rsidP="00711813">
      <w:pPr>
        <w:jc w:val="both"/>
        <w:rPr>
          <w:rFonts w:ascii="Calibri" w:hAnsi="Calibri" w:cs="Calibri"/>
          <w:b/>
          <w:sz w:val="20"/>
          <w:szCs w:val="20"/>
          <w:lang w:val="en-AU"/>
        </w:rPr>
      </w:pPr>
      <w:r>
        <w:rPr>
          <w:rFonts w:ascii="Calibri" w:hAnsi="Calibri" w:cs="Calibri"/>
          <w:b/>
          <w:sz w:val="20"/>
          <w:szCs w:val="20"/>
          <w:lang w:val="en-AU"/>
        </w:rPr>
        <w:t xml:space="preserve">Adverse </w:t>
      </w:r>
      <w:r w:rsidR="00FC39A1">
        <w:rPr>
          <w:rFonts w:ascii="Calibri" w:hAnsi="Calibri" w:cs="Calibri"/>
          <w:b/>
          <w:sz w:val="20"/>
          <w:szCs w:val="20"/>
          <w:lang w:val="en-AU"/>
        </w:rPr>
        <w:t>Effect</w:t>
      </w:r>
      <w:r>
        <w:rPr>
          <w:rFonts w:ascii="Calibri" w:hAnsi="Calibri" w:cs="Calibri"/>
          <w:b/>
          <w:sz w:val="20"/>
          <w:szCs w:val="20"/>
          <w:lang w:val="en-AU"/>
        </w:rPr>
        <w:t xml:space="preserve"> and Oral Chemotherapy Drug Interaction</w:t>
      </w:r>
      <w:r w:rsidR="001E0E26">
        <w:rPr>
          <w:rFonts w:ascii="Calibri" w:hAnsi="Calibri" w:cs="Calibri"/>
          <w:b/>
          <w:sz w:val="20"/>
          <w:szCs w:val="20"/>
          <w:lang w:val="en-AU"/>
        </w:rPr>
        <w:t xml:space="preserve"> </w:t>
      </w:r>
      <w:r>
        <w:rPr>
          <w:rFonts w:ascii="Calibri" w:hAnsi="Calibri" w:cs="Calibri"/>
          <w:b/>
          <w:sz w:val="20"/>
          <w:szCs w:val="20"/>
          <w:lang w:val="en-AU"/>
        </w:rPr>
        <w:t xml:space="preserve"> in a </w:t>
      </w:r>
      <w:r w:rsidR="00FC39A1">
        <w:rPr>
          <w:rFonts w:ascii="Calibri" w:hAnsi="Calibri" w:cs="Calibri"/>
          <w:b/>
          <w:sz w:val="20"/>
          <w:szCs w:val="20"/>
          <w:lang w:val="en-AU"/>
        </w:rPr>
        <w:t xml:space="preserve">Yogyakarta </w:t>
      </w:r>
      <w:r>
        <w:rPr>
          <w:rFonts w:ascii="Calibri" w:hAnsi="Calibri" w:cs="Calibri"/>
          <w:b/>
          <w:sz w:val="20"/>
          <w:szCs w:val="20"/>
          <w:lang w:val="en-AU"/>
        </w:rPr>
        <w:t>Hospital</w:t>
      </w:r>
      <w:r w:rsidR="002C3060">
        <w:rPr>
          <w:rFonts w:ascii="Calibri" w:hAnsi="Calibri" w:cs="Calibri"/>
          <w:b/>
          <w:sz w:val="20"/>
          <w:szCs w:val="20"/>
          <w:lang w:val="en-AU"/>
        </w:rPr>
        <w:t>,</w:t>
      </w:r>
      <w:r>
        <w:rPr>
          <w:rFonts w:ascii="Calibri" w:hAnsi="Calibri" w:cs="Calibri"/>
          <w:b/>
          <w:sz w:val="20"/>
          <w:szCs w:val="20"/>
          <w:lang w:val="en-AU"/>
        </w:rPr>
        <w:t xml:space="preserve"> Indonesia</w:t>
      </w:r>
    </w:p>
    <w:p w14:paraId="416EA018" w14:textId="621D7C8B" w:rsidR="00B624D2" w:rsidRPr="004E5450" w:rsidRDefault="00B624D2" w:rsidP="00711813">
      <w:pPr>
        <w:jc w:val="both"/>
        <w:rPr>
          <w:rFonts w:ascii="Calibri" w:hAnsi="Calibri" w:cs="Calibri"/>
          <w:b/>
          <w:sz w:val="20"/>
          <w:szCs w:val="20"/>
          <w:lang w:val="en-AU"/>
        </w:rPr>
      </w:pPr>
    </w:p>
    <w:p w14:paraId="4235BFF6" w14:textId="76A0A90E" w:rsidR="00711813" w:rsidRPr="004E5450" w:rsidRDefault="006D0FAB" w:rsidP="00711813">
      <w:pPr>
        <w:jc w:val="both"/>
        <w:rPr>
          <w:rFonts w:ascii="Calibri" w:hAnsi="Calibri" w:cs="Calibri"/>
          <w:sz w:val="20"/>
          <w:szCs w:val="20"/>
          <w:lang w:val="en-AU"/>
        </w:rPr>
      </w:pPr>
      <w:r>
        <w:rPr>
          <w:rFonts w:ascii="Calibri" w:hAnsi="Calibri" w:cs="Calibri"/>
          <w:sz w:val="20"/>
          <w:szCs w:val="20"/>
          <w:lang w:val="en-AU"/>
        </w:rPr>
        <w:t>Fita Rahmawati</w:t>
      </w:r>
      <w:r w:rsidR="00711813" w:rsidRPr="004E5450">
        <w:rPr>
          <w:rFonts w:ascii="Calibri" w:hAnsi="Calibri" w:cs="Calibri"/>
          <w:sz w:val="20"/>
          <w:szCs w:val="20"/>
          <w:vertAlign w:val="superscript"/>
          <w:lang w:val="en-AU"/>
        </w:rPr>
        <w:t>1</w:t>
      </w:r>
      <w:r w:rsidR="00711813" w:rsidRPr="004E5450">
        <w:rPr>
          <w:rFonts w:ascii="Calibri" w:hAnsi="Calibri" w:cs="Calibri"/>
          <w:sz w:val="20"/>
          <w:szCs w:val="20"/>
          <w:lang w:val="en-AU"/>
        </w:rPr>
        <w:t xml:space="preserve">, </w:t>
      </w:r>
      <w:r>
        <w:rPr>
          <w:rFonts w:ascii="Calibri" w:hAnsi="Calibri" w:cs="Calibri"/>
          <w:sz w:val="20"/>
          <w:szCs w:val="20"/>
          <w:lang w:val="en-AU"/>
        </w:rPr>
        <w:t>Ivon Saubaki</w:t>
      </w:r>
      <w:r w:rsidR="00711813" w:rsidRPr="004E5450">
        <w:rPr>
          <w:rFonts w:ascii="Calibri" w:hAnsi="Calibri" w:cs="Calibri"/>
          <w:sz w:val="20"/>
          <w:szCs w:val="20"/>
          <w:vertAlign w:val="superscript"/>
          <w:lang w:val="en-AU"/>
        </w:rPr>
        <w:t>,2</w:t>
      </w:r>
      <w:r w:rsidR="00711813" w:rsidRPr="004E5450">
        <w:rPr>
          <w:rFonts w:ascii="Calibri" w:hAnsi="Calibri" w:cs="Calibri"/>
          <w:sz w:val="20"/>
          <w:szCs w:val="20"/>
          <w:lang w:val="en-AU"/>
        </w:rPr>
        <w:t xml:space="preserve">. </w:t>
      </w:r>
      <w:r>
        <w:rPr>
          <w:rFonts w:ascii="Calibri" w:hAnsi="Calibri" w:cs="Calibri"/>
          <w:sz w:val="20"/>
          <w:szCs w:val="20"/>
          <w:lang w:val="en-AU"/>
        </w:rPr>
        <w:t>Departement of Pharmacology and Clinical Pharmacy</w:t>
      </w:r>
      <w:r w:rsidR="00711813" w:rsidRPr="004E5450">
        <w:rPr>
          <w:rFonts w:ascii="Calibri" w:hAnsi="Calibri" w:cs="Calibri"/>
          <w:sz w:val="20"/>
          <w:szCs w:val="20"/>
          <w:lang w:val="en-AU"/>
        </w:rPr>
        <w:t xml:space="preserve">, </w:t>
      </w:r>
      <w:r>
        <w:rPr>
          <w:rFonts w:ascii="Calibri" w:hAnsi="Calibri" w:cs="Calibri"/>
          <w:sz w:val="20"/>
          <w:szCs w:val="20"/>
          <w:lang w:val="en-AU"/>
        </w:rPr>
        <w:t>Universitas Gadjah Mada</w:t>
      </w:r>
      <w:r w:rsidR="00711813" w:rsidRPr="004E5450">
        <w:rPr>
          <w:rFonts w:ascii="Calibri" w:hAnsi="Calibri" w:cs="Calibri"/>
          <w:sz w:val="20"/>
          <w:szCs w:val="20"/>
          <w:vertAlign w:val="superscript"/>
          <w:lang w:val="en-AU"/>
        </w:rPr>
        <w:t>1</w:t>
      </w:r>
      <w:r w:rsidR="00711813" w:rsidRPr="004E5450">
        <w:rPr>
          <w:rFonts w:ascii="Calibri" w:hAnsi="Calibri" w:cs="Calibri"/>
          <w:sz w:val="20"/>
          <w:szCs w:val="20"/>
          <w:lang w:val="en-AU"/>
        </w:rPr>
        <w:t xml:space="preserve">, </w:t>
      </w:r>
      <w:r>
        <w:rPr>
          <w:rFonts w:ascii="Calibri" w:hAnsi="Calibri" w:cs="Calibri"/>
          <w:sz w:val="20"/>
          <w:szCs w:val="20"/>
          <w:lang w:val="en-AU"/>
        </w:rPr>
        <w:t>Yogyakarta</w:t>
      </w:r>
      <w:r w:rsidR="00711813" w:rsidRPr="004E5450">
        <w:rPr>
          <w:rFonts w:ascii="Calibri" w:hAnsi="Calibri" w:cs="Calibri"/>
          <w:sz w:val="20"/>
          <w:szCs w:val="20"/>
          <w:lang w:val="en-AU"/>
        </w:rPr>
        <w:t xml:space="preserve">, </w:t>
      </w:r>
      <w:r>
        <w:rPr>
          <w:rFonts w:ascii="Calibri" w:hAnsi="Calibri" w:cs="Calibri"/>
          <w:sz w:val="20"/>
          <w:szCs w:val="20"/>
          <w:lang w:val="en-AU"/>
        </w:rPr>
        <w:t>Indonesia</w:t>
      </w:r>
      <w:r w:rsidR="00711813" w:rsidRPr="004E5450">
        <w:rPr>
          <w:rFonts w:ascii="Calibri" w:hAnsi="Calibri" w:cs="Calibri"/>
          <w:sz w:val="20"/>
          <w:szCs w:val="20"/>
          <w:lang w:val="en-AU"/>
        </w:rPr>
        <w:t xml:space="preserve">; </w:t>
      </w:r>
      <w:r>
        <w:rPr>
          <w:rFonts w:ascii="Calibri" w:hAnsi="Calibri" w:cs="Calibri"/>
          <w:sz w:val="20"/>
          <w:szCs w:val="20"/>
          <w:lang w:val="en-AU"/>
        </w:rPr>
        <w:t xml:space="preserve">Master of Clinical Pharmacy </w:t>
      </w:r>
      <w:r w:rsidR="00711813" w:rsidRPr="004E5450">
        <w:rPr>
          <w:rFonts w:ascii="Calibri" w:hAnsi="Calibri" w:cs="Calibri"/>
          <w:sz w:val="20"/>
          <w:szCs w:val="20"/>
          <w:lang w:val="en-AU"/>
        </w:rPr>
        <w:t xml:space="preserve">, </w:t>
      </w:r>
      <w:r>
        <w:rPr>
          <w:rFonts w:ascii="Calibri" w:hAnsi="Calibri" w:cs="Calibri"/>
          <w:sz w:val="20"/>
          <w:szCs w:val="20"/>
          <w:lang w:val="en-AU"/>
        </w:rPr>
        <w:t>Universitas Gadjah Mada</w:t>
      </w:r>
      <w:r w:rsidR="00711813" w:rsidRPr="004E5450">
        <w:rPr>
          <w:rFonts w:ascii="Calibri" w:hAnsi="Calibri" w:cs="Calibri"/>
          <w:sz w:val="20"/>
          <w:szCs w:val="20"/>
          <w:vertAlign w:val="superscript"/>
          <w:lang w:val="en-AU"/>
        </w:rPr>
        <w:t>2</w:t>
      </w:r>
      <w:r w:rsidR="00711813" w:rsidRPr="004E5450">
        <w:rPr>
          <w:rFonts w:ascii="Calibri" w:hAnsi="Calibri" w:cs="Calibri"/>
          <w:sz w:val="20"/>
          <w:szCs w:val="20"/>
          <w:lang w:val="en-AU"/>
        </w:rPr>
        <w:t xml:space="preserve">, </w:t>
      </w:r>
      <w:r>
        <w:rPr>
          <w:rFonts w:ascii="Calibri" w:hAnsi="Calibri" w:cs="Calibri"/>
          <w:sz w:val="20"/>
          <w:szCs w:val="20"/>
          <w:lang w:val="en-AU"/>
        </w:rPr>
        <w:t>Yogyakarta</w:t>
      </w:r>
      <w:r w:rsidR="00EF12F3" w:rsidRPr="00EF12F3">
        <w:rPr>
          <w:rFonts w:ascii="Calibri" w:hAnsi="Calibri" w:cs="Calibri"/>
          <w:sz w:val="20"/>
          <w:szCs w:val="20"/>
          <w:lang w:val="en-AU"/>
        </w:rPr>
        <w:t xml:space="preserve">, </w:t>
      </w:r>
      <w:r>
        <w:rPr>
          <w:rFonts w:ascii="Calibri" w:hAnsi="Calibri" w:cs="Calibri"/>
          <w:sz w:val="20"/>
          <w:szCs w:val="20"/>
          <w:lang w:val="en-AU"/>
        </w:rPr>
        <w:t>Indonesia</w:t>
      </w:r>
      <w:r w:rsidR="00711813" w:rsidRPr="004E5450">
        <w:rPr>
          <w:rFonts w:ascii="Calibri" w:hAnsi="Calibri" w:cs="Calibri"/>
          <w:sz w:val="20"/>
          <w:szCs w:val="20"/>
          <w:lang w:val="en-AU"/>
        </w:rPr>
        <w:t xml:space="preserve">. </w:t>
      </w:r>
    </w:p>
    <w:p w14:paraId="23122898" w14:textId="18057389" w:rsidR="00711813" w:rsidRPr="004E5450" w:rsidRDefault="00711813" w:rsidP="00711813">
      <w:pPr>
        <w:pStyle w:val="Default"/>
        <w:jc w:val="both"/>
        <w:rPr>
          <w:color w:val="auto"/>
          <w:sz w:val="20"/>
          <w:szCs w:val="20"/>
          <w:lang w:val="en-AU"/>
        </w:rPr>
      </w:pPr>
      <w:r w:rsidRPr="004E5450">
        <w:rPr>
          <w:i/>
          <w:color w:val="auto"/>
          <w:sz w:val="20"/>
          <w:szCs w:val="20"/>
        </w:rPr>
        <w:t xml:space="preserve"> </w:t>
      </w:r>
    </w:p>
    <w:p w14:paraId="0AAC1C19" w14:textId="1042C9AB" w:rsidR="00711813" w:rsidRPr="004E5450" w:rsidRDefault="00711813" w:rsidP="006D0FAB">
      <w:pPr>
        <w:jc w:val="both"/>
        <w:rPr>
          <w:rFonts w:ascii="Calibri" w:hAnsi="Calibri" w:cs="Calibri"/>
          <w:sz w:val="20"/>
          <w:szCs w:val="20"/>
          <w:lang w:val="en-AU"/>
        </w:rPr>
      </w:pPr>
      <w:r w:rsidRPr="00444224">
        <w:rPr>
          <w:rFonts w:ascii="Calibri" w:hAnsi="Calibri" w:cs="Calibri"/>
          <w:b/>
          <w:bCs/>
          <w:sz w:val="20"/>
          <w:szCs w:val="20"/>
          <w:lang w:val="en-AU"/>
        </w:rPr>
        <w:t>Introduction.</w:t>
      </w:r>
      <w:r w:rsidRPr="004E5450">
        <w:rPr>
          <w:rFonts w:ascii="Calibri" w:hAnsi="Calibri" w:cs="Calibri"/>
          <w:sz w:val="20"/>
          <w:szCs w:val="20"/>
          <w:lang w:val="en-AU"/>
        </w:rPr>
        <w:t xml:space="preserve"> </w:t>
      </w:r>
      <w:r w:rsidR="006D0FAB" w:rsidRPr="006D0FAB">
        <w:rPr>
          <w:rFonts w:ascii="Calibri" w:hAnsi="Calibri" w:cs="Calibri"/>
          <w:sz w:val="20"/>
          <w:szCs w:val="20"/>
        </w:rPr>
        <w:t xml:space="preserve">The </w:t>
      </w:r>
      <w:r w:rsidR="001E0E26">
        <w:rPr>
          <w:rFonts w:ascii="Calibri" w:hAnsi="Calibri" w:cs="Calibri"/>
          <w:sz w:val="20"/>
          <w:szCs w:val="20"/>
        </w:rPr>
        <w:t>use</w:t>
      </w:r>
      <w:r w:rsidR="006D0FAB" w:rsidRPr="006D0FAB">
        <w:rPr>
          <w:rFonts w:ascii="Calibri" w:hAnsi="Calibri" w:cs="Calibri"/>
          <w:sz w:val="20"/>
          <w:szCs w:val="20"/>
        </w:rPr>
        <w:t xml:space="preserve"> of oral anticancer treatments has become a prevalent and integral component of contemporary cancer treatment </w:t>
      </w:r>
      <w:r w:rsidR="001E0E26" w:rsidRPr="001E0E26">
        <w:rPr>
          <w:rFonts w:ascii="Calibri" w:hAnsi="Calibri" w:cs="Calibri"/>
          <w:sz w:val="20"/>
          <w:szCs w:val="20"/>
          <w:vertAlign w:val="superscript"/>
        </w:rPr>
        <w:t>1</w:t>
      </w:r>
      <w:r w:rsidR="006D0FAB" w:rsidRPr="006D0FAB">
        <w:rPr>
          <w:rFonts w:ascii="Calibri" w:hAnsi="Calibri" w:cs="Calibri"/>
          <w:sz w:val="20"/>
          <w:szCs w:val="20"/>
        </w:rPr>
        <w:t xml:space="preserve">. </w:t>
      </w:r>
      <w:r w:rsidR="002832C3">
        <w:rPr>
          <w:rFonts w:ascii="Calibri" w:hAnsi="Calibri" w:cs="Calibri"/>
          <w:sz w:val="20"/>
          <w:szCs w:val="20"/>
        </w:rPr>
        <w:t>The</w:t>
      </w:r>
      <w:r w:rsidR="006D0FAB" w:rsidRPr="006D0FAB">
        <w:rPr>
          <w:rFonts w:ascii="Calibri" w:hAnsi="Calibri" w:cs="Calibri"/>
          <w:sz w:val="20"/>
          <w:szCs w:val="20"/>
        </w:rPr>
        <w:t xml:space="preserve"> oral anticancer agents are susceptible to drug interactions</w:t>
      </w:r>
      <w:r w:rsidR="002832C3">
        <w:rPr>
          <w:rFonts w:ascii="Calibri" w:hAnsi="Calibri" w:cs="Calibri"/>
          <w:sz w:val="20"/>
          <w:szCs w:val="20"/>
        </w:rPr>
        <w:t xml:space="preserve"> and </w:t>
      </w:r>
      <w:r w:rsidR="006D0FAB" w:rsidRPr="006D0FAB">
        <w:rPr>
          <w:rFonts w:ascii="Calibri" w:hAnsi="Calibri" w:cs="Calibri"/>
          <w:sz w:val="20"/>
          <w:szCs w:val="20"/>
        </w:rPr>
        <w:t>adverse effects</w:t>
      </w:r>
      <w:r w:rsidR="001E0E26" w:rsidRPr="001E0E26">
        <w:rPr>
          <w:rFonts w:ascii="Calibri" w:hAnsi="Calibri" w:cs="Calibri"/>
          <w:sz w:val="20"/>
          <w:szCs w:val="20"/>
          <w:vertAlign w:val="superscript"/>
        </w:rPr>
        <w:t>2</w:t>
      </w:r>
      <w:r w:rsidR="001B39FD">
        <w:rPr>
          <w:rFonts w:ascii="Calibri" w:hAnsi="Calibri" w:cs="Calibri"/>
          <w:sz w:val="20"/>
          <w:szCs w:val="20"/>
          <w:vertAlign w:val="superscript"/>
        </w:rPr>
        <w:t xml:space="preserve"> </w:t>
      </w:r>
    </w:p>
    <w:p w14:paraId="1D16B40C" w14:textId="4F40F07B" w:rsidR="001008A6" w:rsidRPr="001008A6" w:rsidRDefault="00711813" w:rsidP="006D0FAB">
      <w:pPr>
        <w:jc w:val="both"/>
        <w:rPr>
          <w:rFonts w:ascii="Calibri" w:hAnsi="Calibri" w:cs="Calibri"/>
          <w:sz w:val="20"/>
          <w:szCs w:val="20"/>
        </w:rPr>
      </w:pPr>
      <w:r w:rsidRPr="00444224">
        <w:rPr>
          <w:rFonts w:ascii="Calibri" w:hAnsi="Calibri" w:cs="Calibri"/>
          <w:b/>
          <w:bCs/>
          <w:sz w:val="20"/>
          <w:szCs w:val="20"/>
          <w:lang w:val="en-AU"/>
        </w:rPr>
        <w:t>Aims</w:t>
      </w:r>
      <w:r w:rsidRPr="004E5450">
        <w:rPr>
          <w:rFonts w:ascii="Calibri" w:hAnsi="Calibri" w:cs="Calibri"/>
          <w:sz w:val="20"/>
          <w:szCs w:val="20"/>
          <w:lang w:val="en-AU"/>
        </w:rPr>
        <w:t xml:space="preserve">. </w:t>
      </w:r>
      <w:r w:rsidR="001008A6" w:rsidRPr="001008A6">
        <w:rPr>
          <w:rFonts w:ascii="Calibri" w:hAnsi="Calibri" w:cs="Calibri"/>
          <w:sz w:val="20"/>
          <w:szCs w:val="20"/>
        </w:rPr>
        <w:t>This study aimed to identify the oral chemotherapy commonly used in cancer treatment</w:t>
      </w:r>
      <w:r w:rsidR="00CE75F8">
        <w:rPr>
          <w:rFonts w:ascii="Calibri" w:hAnsi="Calibri" w:cs="Calibri"/>
          <w:sz w:val="20"/>
          <w:szCs w:val="20"/>
        </w:rPr>
        <w:t xml:space="preserve">, </w:t>
      </w:r>
      <w:r w:rsidR="001008A6" w:rsidRPr="001008A6">
        <w:rPr>
          <w:rFonts w:ascii="Calibri" w:hAnsi="Calibri" w:cs="Calibri"/>
          <w:sz w:val="20"/>
          <w:szCs w:val="20"/>
        </w:rPr>
        <w:t xml:space="preserve"> </w:t>
      </w:r>
      <w:r w:rsidR="00CE75F8" w:rsidRPr="001008A6">
        <w:rPr>
          <w:rFonts w:ascii="Calibri" w:hAnsi="Calibri" w:cs="Calibri"/>
          <w:sz w:val="20"/>
          <w:szCs w:val="20"/>
        </w:rPr>
        <w:t xml:space="preserve">identified adverse effects </w:t>
      </w:r>
      <w:r w:rsidR="001008A6" w:rsidRPr="001008A6">
        <w:rPr>
          <w:rFonts w:ascii="Calibri" w:hAnsi="Calibri" w:cs="Calibri"/>
          <w:sz w:val="20"/>
          <w:szCs w:val="20"/>
        </w:rPr>
        <w:t xml:space="preserve">and to identify potential interactions with other medications and foods. </w:t>
      </w:r>
    </w:p>
    <w:p w14:paraId="72A1E23E" w14:textId="4BF7A06A" w:rsidR="00AC09CE" w:rsidRDefault="00711813" w:rsidP="006D0FAB">
      <w:pPr>
        <w:jc w:val="both"/>
        <w:rPr>
          <w:rFonts w:ascii="Calibri" w:hAnsi="Calibri" w:cs="Calibri"/>
          <w:sz w:val="20"/>
          <w:szCs w:val="20"/>
        </w:rPr>
      </w:pPr>
      <w:r w:rsidRPr="00444224">
        <w:rPr>
          <w:rFonts w:ascii="Calibri" w:hAnsi="Calibri" w:cs="Calibri"/>
          <w:b/>
          <w:bCs/>
          <w:sz w:val="20"/>
          <w:szCs w:val="20"/>
          <w:lang w:val="en-AU"/>
        </w:rPr>
        <w:t>Methods</w:t>
      </w:r>
      <w:r w:rsidRPr="004E5450">
        <w:rPr>
          <w:rFonts w:ascii="Calibri" w:hAnsi="Calibri" w:cs="Calibri"/>
          <w:sz w:val="20"/>
          <w:szCs w:val="20"/>
          <w:lang w:val="en-AU"/>
        </w:rPr>
        <w:t xml:space="preserve">. </w:t>
      </w:r>
      <w:r w:rsidR="00AC09CE" w:rsidRPr="00AC09CE">
        <w:rPr>
          <w:rFonts w:ascii="Calibri" w:hAnsi="Calibri" w:cs="Calibri"/>
          <w:sz w:val="20"/>
          <w:szCs w:val="20"/>
        </w:rPr>
        <w:t xml:space="preserve">The research type was an observational cross-sectional study. Data were collected from 105 cases of </w:t>
      </w:r>
      <w:r w:rsidR="00DC6F72">
        <w:rPr>
          <w:rFonts w:ascii="Calibri" w:hAnsi="Calibri" w:cs="Calibri"/>
          <w:sz w:val="20"/>
          <w:szCs w:val="20"/>
        </w:rPr>
        <w:t xml:space="preserve">adult </w:t>
      </w:r>
      <w:r w:rsidR="00AC09CE" w:rsidRPr="00AC09CE">
        <w:rPr>
          <w:rFonts w:ascii="Calibri" w:hAnsi="Calibri" w:cs="Calibri"/>
          <w:sz w:val="20"/>
          <w:szCs w:val="20"/>
        </w:rPr>
        <w:t>cancer patients in a tertiary hospital in Yogyakarta, Indonesia, from July to August 2025. Potential drug interactions are identified using UpToDate references. An adverse drug reaction was identified based on an interview with the patient.</w:t>
      </w:r>
      <w:r w:rsidR="00CE75F8">
        <w:rPr>
          <w:rFonts w:ascii="Calibri" w:hAnsi="Calibri" w:cs="Calibri"/>
          <w:sz w:val="20"/>
          <w:szCs w:val="20"/>
        </w:rPr>
        <w:t xml:space="preserve"> </w:t>
      </w:r>
      <w:r w:rsidR="006A3ADF" w:rsidRPr="006A3ADF">
        <w:rPr>
          <w:rFonts w:ascii="Calibri" w:hAnsi="Calibri" w:cs="Calibri"/>
          <w:sz w:val="20"/>
          <w:szCs w:val="20"/>
        </w:rPr>
        <w:t xml:space="preserve">The  analysis  used  is  a  simple  distribution that  describes  the  profile  </w:t>
      </w:r>
      <w:r w:rsidR="00623BF3">
        <w:rPr>
          <w:rFonts w:ascii="Calibri" w:hAnsi="Calibri" w:cs="Calibri"/>
          <w:sz w:val="20"/>
          <w:szCs w:val="20"/>
        </w:rPr>
        <w:t>drug</w:t>
      </w:r>
      <w:r w:rsidR="006A3ADF">
        <w:rPr>
          <w:rFonts w:ascii="Calibri" w:hAnsi="Calibri" w:cs="Calibri"/>
          <w:sz w:val="20"/>
          <w:szCs w:val="20"/>
        </w:rPr>
        <w:t xml:space="preserve"> interaction</w:t>
      </w:r>
      <w:r w:rsidR="003076D5">
        <w:rPr>
          <w:rFonts w:ascii="Calibri" w:hAnsi="Calibri" w:cs="Calibri"/>
          <w:sz w:val="20"/>
          <w:szCs w:val="20"/>
        </w:rPr>
        <w:t xml:space="preserve"> and adverse drug reaction</w:t>
      </w:r>
      <w:r w:rsidR="006A3ADF" w:rsidRPr="006A3ADF">
        <w:rPr>
          <w:rFonts w:ascii="Calibri" w:hAnsi="Calibri" w:cs="Calibri"/>
          <w:sz w:val="20"/>
          <w:szCs w:val="20"/>
        </w:rPr>
        <w:t xml:space="preserve">. </w:t>
      </w:r>
    </w:p>
    <w:p w14:paraId="2F7A7F5C" w14:textId="77777777" w:rsidR="001B39FD" w:rsidRDefault="001B39FD" w:rsidP="006D0FAB">
      <w:pPr>
        <w:jc w:val="both"/>
        <w:rPr>
          <w:rFonts w:ascii="Calibri" w:hAnsi="Calibri" w:cs="Calibri"/>
          <w:sz w:val="20"/>
          <w:szCs w:val="20"/>
        </w:rPr>
      </w:pPr>
      <w:r>
        <w:rPr>
          <w:noProof/>
        </w:rPr>
        <w:drawing>
          <wp:anchor distT="0" distB="0" distL="114300" distR="114300" simplePos="0" relativeHeight="251658240" behindDoc="0" locked="0" layoutInCell="1" allowOverlap="1" wp14:anchorId="7B6CD588" wp14:editId="48A60DD3">
            <wp:simplePos x="0" y="0"/>
            <wp:positionH relativeFrom="column">
              <wp:posOffset>4088130</wp:posOffset>
            </wp:positionH>
            <wp:positionV relativeFrom="paragraph">
              <wp:posOffset>9526</wp:posOffset>
            </wp:positionV>
            <wp:extent cx="2139950" cy="1249680"/>
            <wp:effectExtent l="0" t="0" r="0" b="7620"/>
            <wp:wrapNone/>
            <wp:docPr id="8384629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462955" name=""/>
                    <pic:cNvPicPr/>
                  </pic:nvPicPr>
                  <pic:blipFill rotWithShape="1">
                    <a:blip r:embed="rId7" cstate="print">
                      <a:extLst>
                        <a:ext uri="{28A0092B-C50C-407E-A947-70E740481C1C}">
                          <a14:useLocalDpi xmlns:a14="http://schemas.microsoft.com/office/drawing/2010/main" val="0"/>
                        </a:ext>
                      </a:extLst>
                    </a:blip>
                    <a:srcRect l="23906" t="22136" r="25524" b="18317"/>
                    <a:stretch>
                      <a:fillRect/>
                    </a:stretch>
                  </pic:blipFill>
                  <pic:spPr bwMode="auto">
                    <a:xfrm>
                      <a:off x="0" y="0"/>
                      <a:ext cx="2140032" cy="12497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11813" w:rsidRPr="00444224">
        <w:rPr>
          <w:rFonts w:ascii="Calibri" w:hAnsi="Calibri" w:cs="Calibri"/>
          <w:b/>
          <w:bCs/>
          <w:sz w:val="20"/>
          <w:szCs w:val="20"/>
          <w:lang w:val="en-AU"/>
        </w:rPr>
        <w:t>Results.</w:t>
      </w:r>
      <w:r w:rsidR="00711813" w:rsidRPr="004E5450">
        <w:rPr>
          <w:rFonts w:ascii="Calibri" w:hAnsi="Calibri" w:cs="Calibri"/>
          <w:sz w:val="20"/>
          <w:szCs w:val="20"/>
          <w:lang w:val="en-AU"/>
        </w:rPr>
        <w:t xml:space="preserve"> </w:t>
      </w:r>
      <w:r w:rsidR="006D0FAB" w:rsidRPr="006D0FAB">
        <w:rPr>
          <w:rFonts w:ascii="Calibri" w:hAnsi="Calibri" w:cs="Calibri"/>
          <w:sz w:val="20"/>
          <w:szCs w:val="20"/>
        </w:rPr>
        <w:t xml:space="preserve">The study’s findings that </w:t>
      </w:r>
      <w:r w:rsidR="006F53A4">
        <w:rPr>
          <w:rFonts w:ascii="Calibri" w:hAnsi="Calibri" w:cs="Calibri"/>
          <w:sz w:val="20"/>
          <w:szCs w:val="20"/>
        </w:rPr>
        <w:t>the</w:t>
      </w:r>
      <w:r w:rsidR="006D0FAB" w:rsidRPr="006D0FAB">
        <w:rPr>
          <w:rFonts w:ascii="Calibri" w:hAnsi="Calibri" w:cs="Calibri"/>
          <w:sz w:val="20"/>
          <w:szCs w:val="20"/>
        </w:rPr>
        <w:t xml:space="preserve"> oral chemotherapy </w:t>
      </w:r>
      <w:r w:rsidR="006F53A4">
        <w:rPr>
          <w:rFonts w:ascii="Calibri" w:hAnsi="Calibri" w:cs="Calibri"/>
          <w:sz w:val="20"/>
          <w:szCs w:val="20"/>
        </w:rPr>
        <w:t xml:space="preserve">mostly </w:t>
      </w:r>
    </w:p>
    <w:p w14:paraId="5B84F11D" w14:textId="18A93C49" w:rsidR="002832C3" w:rsidRDefault="006F53A4" w:rsidP="006D0FAB">
      <w:pPr>
        <w:jc w:val="both"/>
        <w:rPr>
          <w:rFonts w:ascii="Calibri" w:hAnsi="Calibri" w:cs="Calibri"/>
          <w:sz w:val="20"/>
          <w:szCs w:val="20"/>
        </w:rPr>
      </w:pPr>
      <w:r>
        <w:rPr>
          <w:rFonts w:ascii="Calibri" w:hAnsi="Calibri" w:cs="Calibri"/>
          <w:sz w:val="20"/>
          <w:szCs w:val="20"/>
        </w:rPr>
        <w:t xml:space="preserve">prescribed </w:t>
      </w:r>
      <w:r w:rsidR="006D0FAB" w:rsidRPr="006D0FAB">
        <w:rPr>
          <w:rFonts w:ascii="Calibri" w:hAnsi="Calibri" w:cs="Calibri"/>
          <w:sz w:val="20"/>
          <w:szCs w:val="20"/>
        </w:rPr>
        <w:t>include</w:t>
      </w:r>
      <w:r w:rsidR="00623BF3">
        <w:rPr>
          <w:rFonts w:ascii="Calibri" w:hAnsi="Calibri" w:cs="Calibri"/>
          <w:sz w:val="20"/>
          <w:szCs w:val="20"/>
        </w:rPr>
        <w:t>d</w:t>
      </w:r>
      <w:r w:rsidR="006D0FAB" w:rsidRPr="006D0FAB">
        <w:rPr>
          <w:rFonts w:ascii="Calibri" w:hAnsi="Calibri" w:cs="Calibri"/>
          <w:sz w:val="20"/>
          <w:szCs w:val="20"/>
        </w:rPr>
        <w:t xml:space="preserve"> </w:t>
      </w:r>
      <w:r w:rsidR="00C1712E">
        <w:rPr>
          <w:rFonts w:ascii="Calibri" w:hAnsi="Calibri" w:cs="Calibri"/>
          <w:sz w:val="20"/>
          <w:szCs w:val="20"/>
        </w:rPr>
        <w:t>a</w:t>
      </w:r>
      <w:r w:rsidR="00C1712E" w:rsidRPr="00C1712E">
        <w:rPr>
          <w:rFonts w:ascii="Calibri" w:hAnsi="Calibri" w:cs="Calibri"/>
          <w:sz w:val="20"/>
          <w:szCs w:val="20"/>
        </w:rPr>
        <w:t>nastrazole</w:t>
      </w:r>
      <w:r w:rsidR="00C1712E">
        <w:rPr>
          <w:rFonts w:ascii="Calibri" w:hAnsi="Calibri" w:cs="Calibri"/>
          <w:sz w:val="20"/>
          <w:szCs w:val="20"/>
        </w:rPr>
        <w:t>,</w:t>
      </w:r>
      <w:r w:rsidR="00C1712E" w:rsidRPr="00C1712E">
        <w:rPr>
          <w:rFonts w:ascii="Calibri" w:hAnsi="Calibri" w:cs="Calibri"/>
          <w:sz w:val="20"/>
          <w:szCs w:val="20"/>
        </w:rPr>
        <w:t xml:space="preserve"> </w:t>
      </w:r>
      <w:r w:rsidR="00C1712E" w:rsidRPr="00C1712E">
        <w:rPr>
          <w:rFonts w:ascii="Segoe UI Symbol" w:hAnsi="Segoe UI Symbol" w:cs="Segoe UI Symbol"/>
          <w:sz w:val="20"/>
          <w:szCs w:val="20"/>
        </w:rPr>
        <w:t>⁠</w:t>
      </w:r>
      <w:r w:rsidR="00C1712E" w:rsidRPr="00C1712E">
        <w:rPr>
          <w:rFonts w:ascii="Calibri" w:hAnsi="Calibri" w:cs="Calibri"/>
          <w:sz w:val="20"/>
          <w:szCs w:val="20"/>
        </w:rPr>
        <w:t>tamoxifen</w:t>
      </w:r>
      <w:r w:rsidR="00C1712E">
        <w:rPr>
          <w:rFonts w:ascii="Calibri" w:hAnsi="Calibri" w:cs="Calibri"/>
          <w:sz w:val="20"/>
          <w:szCs w:val="20"/>
        </w:rPr>
        <w:t xml:space="preserve">, </w:t>
      </w:r>
      <w:r w:rsidR="00C1712E" w:rsidRPr="00C1712E">
        <w:rPr>
          <w:rFonts w:ascii="Segoe UI Symbol" w:hAnsi="Segoe UI Symbol" w:cs="Segoe UI Symbol"/>
          <w:sz w:val="20"/>
          <w:szCs w:val="20"/>
        </w:rPr>
        <w:t>⁠</w:t>
      </w:r>
      <w:r w:rsidR="00C1712E" w:rsidRPr="00C1712E">
        <w:rPr>
          <w:rFonts w:ascii="Calibri" w:hAnsi="Calibri" w:cs="Calibri"/>
          <w:sz w:val="20"/>
          <w:szCs w:val="20"/>
        </w:rPr>
        <w:t>methotrexate</w:t>
      </w:r>
      <w:r w:rsidR="00C1712E">
        <w:rPr>
          <w:rFonts w:ascii="Calibri" w:hAnsi="Calibri" w:cs="Calibri"/>
          <w:sz w:val="20"/>
          <w:szCs w:val="20"/>
        </w:rPr>
        <w:t xml:space="preserve">, </w:t>
      </w:r>
      <w:r w:rsidR="00C1712E" w:rsidRPr="00C1712E">
        <w:rPr>
          <w:rFonts w:ascii="Segoe UI Symbol" w:hAnsi="Segoe UI Symbol" w:cs="Segoe UI Symbol"/>
          <w:sz w:val="20"/>
          <w:szCs w:val="20"/>
        </w:rPr>
        <w:t>⁠</w:t>
      </w:r>
      <w:r w:rsidR="00C1712E" w:rsidRPr="00C1712E">
        <w:rPr>
          <w:rFonts w:ascii="Calibri" w:hAnsi="Calibri" w:cs="Calibri"/>
          <w:sz w:val="20"/>
          <w:szCs w:val="20"/>
        </w:rPr>
        <w:t>capecitabin</w:t>
      </w:r>
      <w:r w:rsidR="00C1712E">
        <w:rPr>
          <w:rFonts w:ascii="Calibri" w:hAnsi="Calibri" w:cs="Calibri"/>
          <w:sz w:val="20"/>
          <w:szCs w:val="20"/>
        </w:rPr>
        <w:t xml:space="preserve">, </w:t>
      </w:r>
    </w:p>
    <w:p w14:paraId="2F4838C2" w14:textId="1622D87B" w:rsidR="00623BF3" w:rsidRDefault="00C1712E" w:rsidP="006D0FAB">
      <w:pPr>
        <w:jc w:val="both"/>
        <w:rPr>
          <w:rFonts w:ascii="Calibri" w:hAnsi="Calibri" w:cs="Calibri"/>
          <w:sz w:val="20"/>
          <w:szCs w:val="20"/>
        </w:rPr>
      </w:pPr>
      <w:r>
        <w:rPr>
          <w:rFonts w:ascii="Calibri" w:hAnsi="Calibri" w:cs="Calibri"/>
          <w:sz w:val="20"/>
          <w:szCs w:val="20"/>
        </w:rPr>
        <w:t xml:space="preserve">and </w:t>
      </w:r>
      <w:r w:rsidRPr="00C1712E">
        <w:rPr>
          <w:rFonts w:ascii="Segoe UI Symbol" w:hAnsi="Segoe UI Symbol" w:cs="Segoe UI Symbol"/>
          <w:sz w:val="20"/>
          <w:szCs w:val="20"/>
        </w:rPr>
        <w:t>⁠</w:t>
      </w:r>
      <w:r w:rsidRPr="00C1712E">
        <w:rPr>
          <w:rFonts w:ascii="Calibri" w:hAnsi="Calibri" w:cs="Calibri"/>
          <w:sz w:val="20"/>
          <w:szCs w:val="20"/>
        </w:rPr>
        <w:t>exemestane</w:t>
      </w:r>
      <w:r>
        <w:rPr>
          <w:rFonts w:ascii="Calibri" w:hAnsi="Calibri" w:cs="Calibri"/>
          <w:sz w:val="20"/>
          <w:szCs w:val="20"/>
        </w:rPr>
        <w:t>.</w:t>
      </w:r>
      <w:r w:rsidR="006D0FAB" w:rsidRPr="006D0FAB">
        <w:rPr>
          <w:rFonts w:ascii="Calibri" w:hAnsi="Calibri" w:cs="Calibri"/>
          <w:sz w:val="20"/>
          <w:szCs w:val="20"/>
        </w:rPr>
        <w:t xml:space="preserve"> The adverse effects experienced by patients </w:t>
      </w:r>
      <w:r w:rsidR="003076D5">
        <w:rPr>
          <w:rFonts w:ascii="Calibri" w:hAnsi="Calibri" w:cs="Calibri"/>
          <w:sz w:val="20"/>
          <w:szCs w:val="20"/>
        </w:rPr>
        <w:t>mostly</w:t>
      </w:r>
      <w:r w:rsidR="006D0FAB" w:rsidRPr="006D0FAB">
        <w:rPr>
          <w:rFonts w:ascii="Calibri" w:hAnsi="Calibri" w:cs="Calibri"/>
          <w:sz w:val="20"/>
          <w:szCs w:val="20"/>
        </w:rPr>
        <w:t xml:space="preserve"> </w:t>
      </w:r>
    </w:p>
    <w:p w14:paraId="008E06DC" w14:textId="77777777" w:rsidR="001B39FD" w:rsidRDefault="006D0FAB" w:rsidP="006D0FAB">
      <w:pPr>
        <w:jc w:val="both"/>
        <w:rPr>
          <w:rFonts w:ascii="Calibri" w:hAnsi="Calibri" w:cs="Calibri"/>
          <w:sz w:val="20"/>
          <w:szCs w:val="20"/>
        </w:rPr>
      </w:pPr>
      <w:r w:rsidRPr="006D0FAB">
        <w:rPr>
          <w:rFonts w:ascii="Calibri" w:hAnsi="Calibri" w:cs="Calibri"/>
          <w:sz w:val="20"/>
          <w:szCs w:val="20"/>
        </w:rPr>
        <w:t>nausea and vomiting</w:t>
      </w:r>
      <w:r w:rsidR="001B39FD">
        <w:rPr>
          <w:rFonts w:ascii="Calibri" w:hAnsi="Calibri" w:cs="Calibri"/>
          <w:sz w:val="20"/>
          <w:szCs w:val="20"/>
        </w:rPr>
        <w:t xml:space="preserve">, fatique, dry mount and alopecia.  </w:t>
      </w:r>
      <w:r w:rsidR="00623BF3">
        <w:rPr>
          <w:rFonts w:ascii="Calibri" w:hAnsi="Calibri" w:cs="Calibri"/>
          <w:sz w:val="20"/>
          <w:szCs w:val="20"/>
        </w:rPr>
        <w:t>T</w:t>
      </w:r>
      <w:r w:rsidRPr="006D0FAB">
        <w:rPr>
          <w:rFonts w:ascii="Calibri" w:hAnsi="Calibri" w:cs="Calibri"/>
          <w:sz w:val="20"/>
          <w:szCs w:val="20"/>
        </w:rPr>
        <w:t>he drug interactions</w:t>
      </w:r>
    </w:p>
    <w:p w14:paraId="0AA2A801" w14:textId="044583E8" w:rsidR="006D0FAB" w:rsidRPr="00C1712E" w:rsidRDefault="006D0FAB" w:rsidP="006D0FAB">
      <w:pPr>
        <w:jc w:val="both"/>
        <w:rPr>
          <w:rFonts w:ascii="Calibri" w:hAnsi="Calibri" w:cs="Calibri"/>
          <w:sz w:val="20"/>
          <w:szCs w:val="20"/>
        </w:rPr>
      </w:pPr>
      <w:r w:rsidRPr="006D0FAB">
        <w:rPr>
          <w:rFonts w:ascii="Calibri" w:hAnsi="Calibri" w:cs="Calibri"/>
          <w:sz w:val="20"/>
          <w:szCs w:val="20"/>
        </w:rPr>
        <w:t>was</w:t>
      </w:r>
      <w:r w:rsidR="002832C3">
        <w:rPr>
          <w:rFonts w:ascii="Calibri" w:hAnsi="Calibri" w:cs="Calibri"/>
          <w:sz w:val="20"/>
          <w:szCs w:val="20"/>
        </w:rPr>
        <w:t xml:space="preserve"> </w:t>
      </w:r>
      <w:r w:rsidRPr="006D0FAB">
        <w:rPr>
          <w:rFonts w:ascii="Calibri" w:hAnsi="Calibri" w:cs="Calibri"/>
          <w:sz w:val="20"/>
          <w:szCs w:val="20"/>
        </w:rPr>
        <w:t xml:space="preserve"> identified in 10 patients, categorised as D and C. </w:t>
      </w:r>
    </w:p>
    <w:p w14:paraId="7B4CA8EE" w14:textId="77777777" w:rsidR="0027650D" w:rsidRDefault="00711813" w:rsidP="0027650D">
      <w:pPr>
        <w:jc w:val="both"/>
        <w:rPr>
          <w:sz w:val="20"/>
          <w:szCs w:val="20"/>
        </w:rPr>
      </w:pPr>
      <w:r w:rsidRPr="00444224">
        <w:rPr>
          <w:rFonts w:ascii="Calibri" w:hAnsi="Calibri" w:cs="Calibri"/>
          <w:b/>
          <w:bCs/>
          <w:sz w:val="20"/>
          <w:szCs w:val="20"/>
          <w:lang w:val="en-AU"/>
        </w:rPr>
        <w:t>Discussion.</w:t>
      </w:r>
      <w:r w:rsidRPr="004E5450">
        <w:rPr>
          <w:rFonts w:ascii="Calibri" w:hAnsi="Calibri" w:cs="Calibri"/>
          <w:sz w:val="20"/>
          <w:szCs w:val="20"/>
          <w:lang w:val="en-AU"/>
        </w:rPr>
        <w:t xml:space="preserve"> </w:t>
      </w:r>
      <w:r w:rsidR="0027650D" w:rsidRPr="0027650D">
        <w:rPr>
          <w:sz w:val="20"/>
          <w:szCs w:val="20"/>
        </w:rPr>
        <w:t>The adverse effects were generally manageable. Potential drug</w:t>
      </w:r>
    </w:p>
    <w:p w14:paraId="4708B71D" w14:textId="77777777" w:rsidR="0027650D" w:rsidRDefault="0027650D" w:rsidP="0027650D">
      <w:pPr>
        <w:jc w:val="both"/>
        <w:rPr>
          <w:sz w:val="20"/>
          <w:szCs w:val="20"/>
        </w:rPr>
      </w:pPr>
      <w:r w:rsidRPr="0027650D">
        <w:rPr>
          <w:sz w:val="20"/>
          <w:szCs w:val="20"/>
        </w:rPr>
        <w:t xml:space="preserve">interactions indicate the necessity for therapeutic monitoring and, in certain </w:t>
      </w:r>
    </w:p>
    <w:p w14:paraId="3A549D95" w14:textId="53946AA5" w:rsidR="0027650D" w:rsidRDefault="0027650D" w:rsidP="0027650D">
      <w:pPr>
        <w:jc w:val="both"/>
        <w:rPr>
          <w:sz w:val="20"/>
          <w:szCs w:val="20"/>
        </w:rPr>
      </w:pPr>
      <w:r w:rsidRPr="0027650D">
        <w:rPr>
          <w:sz w:val="20"/>
          <w:szCs w:val="20"/>
        </w:rPr>
        <w:t>cases, alternative treatment</w:t>
      </w:r>
      <w:r w:rsidR="00586F56" w:rsidRPr="00586F56">
        <w:rPr>
          <w:sz w:val="20"/>
          <w:szCs w:val="20"/>
          <w:vertAlign w:val="superscript"/>
        </w:rPr>
        <w:t>3</w:t>
      </w:r>
      <w:r w:rsidRPr="0027650D">
        <w:rPr>
          <w:sz w:val="20"/>
          <w:szCs w:val="20"/>
        </w:rPr>
        <w:t xml:space="preserve">. The use of oral chemotherapy is generally well </w:t>
      </w:r>
    </w:p>
    <w:p w14:paraId="30A72684" w14:textId="3465A416" w:rsidR="0027650D" w:rsidRDefault="0027650D" w:rsidP="0027650D">
      <w:pPr>
        <w:jc w:val="both"/>
        <w:rPr>
          <w:sz w:val="20"/>
          <w:szCs w:val="20"/>
        </w:rPr>
      </w:pPr>
      <w:r w:rsidRPr="0027650D">
        <w:rPr>
          <w:sz w:val="20"/>
          <w:szCs w:val="20"/>
        </w:rPr>
        <w:t>tolerated. In practice, close monitoring and multidisciplinary collaboration are very important.</w:t>
      </w:r>
    </w:p>
    <w:p w14:paraId="172CBDBC" w14:textId="29E08817" w:rsidR="001E0E26" w:rsidRDefault="001E0E26" w:rsidP="00BF61FA">
      <w:pPr>
        <w:jc w:val="both"/>
        <w:rPr>
          <w:sz w:val="20"/>
          <w:szCs w:val="20"/>
        </w:rPr>
      </w:pPr>
      <w:r>
        <w:rPr>
          <w:sz w:val="20"/>
          <w:szCs w:val="20"/>
        </w:rPr>
        <w:t>References</w:t>
      </w:r>
    </w:p>
    <w:p w14:paraId="0BDCA34F" w14:textId="3E5759CF" w:rsidR="001E0E26" w:rsidRPr="003076D5" w:rsidRDefault="001E0E26" w:rsidP="001E0E26">
      <w:pPr>
        <w:pStyle w:val="ListParagraph"/>
        <w:numPr>
          <w:ilvl w:val="0"/>
          <w:numId w:val="1"/>
        </w:numPr>
        <w:jc w:val="both"/>
        <w:rPr>
          <w:rFonts w:ascii="Calibri" w:hAnsi="Calibri" w:cs="Calibri"/>
          <w:sz w:val="20"/>
          <w:szCs w:val="20"/>
        </w:rPr>
      </w:pPr>
      <w:r w:rsidRPr="003076D5">
        <w:rPr>
          <w:rFonts w:ascii="Calibri" w:hAnsi="Calibri" w:cs="Calibri"/>
          <w:sz w:val="20"/>
          <w:szCs w:val="20"/>
        </w:rPr>
        <w:t>O’Neill VJ et al (2002). Br J Cancer, 87:933–937.</w:t>
      </w:r>
    </w:p>
    <w:p w14:paraId="6FC95C5D" w14:textId="0EE71EC7" w:rsidR="003076D5" w:rsidRPr="002F34E6" w:rsidRDefault="001E0E26" w:rsidP="00E66B27">
      <w:pPr>
        <w:pStyle w:val="ListParagraph"/>
        <w:numPr>
          <w:ilvl w:val="0"/>
          <w:numId w:val="1"/>
        </w:numPr>
        <w:jc w:val="both"/>
        <w:rPr>
          <w:rFonts w:ascii="Calibri" w:hAnsi="Calibri" w:cs="Calibri"/>
          <w:sz w:val="20"/>
          <w:szCs w:val="20"/>
          <w:lang w:val="en-AU"/>
        </w:rPr>
      </w:pPr>
      <w:r w:rsidRPr="00B87B45">
        <w:rPr>
          <w:rFonts w:ascii="Calibri" w:hAnsi="Calibri" w:cs="Calibri"/>
          <w:sz w:val="20"/>
          <w:szCs w:val="20"/>
        </w:rPr>
        <w:t>Lohr LK et al (2023). J Adv Pract Oncol. 14(5):419-43</w:t>
      </w:r>
      <w:r w:rsidR="00586F56">
        <w:rPr>
          <w:rFonts w:ascii="Calibri" w:hAnsi="Calibri" w:cs="Calibri"/>
          <w:sz w:val="20"/>
          <w:szCs w:val="20"/>
        </w:rPr>
        <w:t>.</w:t>
      </w:r>
    </w:p>
    <w:p w14:paraId="092CF3DE" w14:textId="780112C9" w:rsidR="00586F56" w:rsidRPr="00586F56" w:rsidRDefault="00586F56" w:rsidP="00586F56">
      <w:pPr>
        <w:pStyle w:val="ListParagraph"/>
        <w:numPr>
          <w:ilvl w:val="0"/>
          <w:numId w:val="1"/>
        </w:numPr>
        <w:jc w:val="both"/>
        <w:rPr>
          <w:rFonts w:ascii="Calibri" w:hAnsi="Calibri" w:cs="Calibri"/>
          <w:sz w:val="20"/>
          <w:szCs w:val="20"/>
          <w:lang w:val="en-AU"/>
        </w:rPr>
      </w:pPr>
      <w:r>
        <w:rPr>
          <w:rFonts w:ascii="Calibri" w:hAnsi="Calibri" w:cs="Calibri"/>
          <w:sz w:val="20"/>
          <w:szCs w:val="20"/>
          <w:lang w:val="en-AU"/>
        </w:rPr>
        <w:t>Jacobs et al (2019). JNCC.org. 17(3): 221-228.</w:t>
      </w:r>
    </w:p>
    <w:sectPr w:rsidR="00586F56" w:rsidRPr="00586F56" w:rsidSect="005D1700">
      <w:pgSz w:w="11906" w:h="8391" w:orient="landscape" w:code="11"/>
      <w:pgMar w:top="851" w:right="1134" w:bottom="851"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F0F5B"/>
    <w:multiLevelType w:val="hybridMultilevel"/>
    <w:tmpl w:val="BEAA267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600329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57"/>
  <w:displayHorizontalDrawingGridEvery w:val="0"/>
  <w:displayVerticalDrawingGridEvery w:val="2"/>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6BB"/>
    <w:rsid w:val="0008041A"/>
    <w:rsid w:val="000A4FA6"/>
    <w:rsid w:val="001008A6"/>
    <w:rsid w:val="00114B6B"/>
    <w:rsid w:val="001B39FD"/>
    <w:rsid w:val="001D269C"/>
    <w:rsid w:val="001E0E26"/>
    <w:rsid w:val="002226BB"/>
    <w:rsid w:val="002272B0"/>
    <w:rsid w:val="0027650D"/>
    <w:rsid w:val="002832C3"/>
    <w:rsid w:val="002C3060"/>
    <w:rsid w:val="002F34E6"/>
    <w:rsid w:val="00300B92"/>
    <w:rsid w:val="003076D5"/>
    <w:rsid w:val="003238D9"/>
    <w:rsid w:val="00387491"/>
    <w:rsid w:val="00444224"/>
    <w:rsid w:val="00483B05"/>
    <w:rsid w:val="004E28B9"/>
    <w:rsid w:val="004E50FC"/>
    <w:rsid w:val="004E5450"/>
    <w:rsid w:val="00586F56"/>
    <w:rsid w:val="0059609A"/>
    <w:rsid w:val="00597659"/>
    <w:rsid w:val="005D1700"/>
    <w:rsid w:val="005E48A2"/>
    <w:rsid w:val="005E62BE"/>
    <w:rsid w:val="00623BF3"/>
    <w:rsid w:val="00656CCC"/>
    <w:rsid w:val="006A3ADF"/>
    <w:rsid w:val="006D0FAB"/>
    <w:rsid w:val="006F1B8D"/>
    <w:rsid w:val="006F53A4"/>
    <w:rsid w:val="00711813"/>
    <w:rsid w:val="00724E3C"/>
    <w:rsid w:val="00743C46"/>
    <w:rsid w:val="00760B17"/>
    <w:rsid w:val="00806390"/>
    <w:rsid w:val="00885303"/>
    <w:rsid w:val="008909C9"/>
    <w:rsid w:val="008C420F"/>
    <w:rsid w:val="00947B77"/>
    <w:rsid w:val="009E2228"/>
    <w:rsid w:val="009F06D6"/>
    <w:rsid w:val="00A266B4"/>
    <w:rsid w:val="00A71DEF"/>
    <w:rsid w:val="00A870A9"/>
    <w:rsid w:val="00AB10D3"/>
    <w:rsid w:val="00AC09CE"/>
    <w:rsid w:val="00AE2DA6"/>
    <w:rsid w:val="00B624D2"/>
    <w:rsid w:val="00B87B45"/>
    <w:rsid w:val="00BC5FCC"/>
    <w:rsid w:val="00BF61FA"/>
    <w:rsid w:val="00C132EC"/>
    <w:rsid w:val="00C1712E"/>
    <w:rsid w:val="00C60A71"/>
    <w:rsid w:val="00CE75F8"/>
    <w:rsid w:val="00D55F3B"/>
    <w:rsid w:val="00DA2731"/>
    <w:rsid w:val="00DC6F72"/>
    <w:rsid w:val="00EF12F3"/>
    <w:rsid w:val="00F01BE4"/>
    <w:rsid w:val="00F02477"/>
    <w:rsid w:val="00F90F73"/>
    <w:rsid w:val="00F97620"/>
    <w:rsid w:val="00FC39A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576E67"/>
  <w15:chartTrackingRefBased/>
  <w15:docId w15:val="{0F201119-13C9-424A-9616-8237916AA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paragraph" w:styleId="Heading1">
    <w:name w:val="heading 1"/>
    <w:basedOn w:val="Normal"/>
    <w:next w:val="Normal"/>
    <w:qFormat/>
    <w:pPr>
      <w:keepNext/>
      <w:spacing w:before="240" w:after="60"/>
      <w:outlineLvl w:val="0"/>
    </w:pPr>
    <w:rPr>
      <w:b/>
      <w:kern w:val="28"/>
      <w:sz w:val="28"/>
      <w:szCs w:val="20"/>
    </w:rPr>
  </w:style>
  <w:style w:type="paragraph" w:styleId="Heading3">
    <w:name w:val="heading 3"/>
    <w:basedOn w:val="Normal"/>
    <w:next w:val="Normal"/>
    <w:qFormat/>
    <w:pPr>
      <w:keepNext/>
      <w:spacing w:before="120" w:after="60"/>
      <w:jc w:val="center"/>
      <w:outlineLvl w:val="2"/>
    </w:pPr>
    <w:rPr>
      <w:b/>
      <w:caps/>
      <w:szCs w:val="20"/>
    </w:rPr>
  </w:style>
  <w:style w:type="paragraph" w:styleId="Heading5">
    <w:name w:val="heading 5"/>
    <w:basedOn w:val="Normal"/>
    <w:next w:val="Normal"/>
    <w:link w:val="Heading5Char"/>
    <w:uiPriority w:val="9"/>
    <w:qFormat/>
    <w:rsid w:val="00420F72"/>
    <w:pPr>
      <w:spacing w:before="240" w:after="60"/>
      <w:outlineLvl w:val="4"/>
    </w:pPr>
    <w:rPr>
      <w:rFonts w:ascii="Calibri" w:eastAsia="PMingLiU"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semiHidden/>
    <w:pPr>
      <w:spacing w:before="120" w:after="120"/>
      <w:ind w:left="-90"/>
      <w:jc w:val="center"/>
    </w:pPr>
    <w:rPr>
      <w:rFonts w:ascii="Times" w:hAnsi="Times"/>
      <w:szCs w:val="20"/>
    </w:rPr>
  </w:style>
  <w:style w:type="character" w:customStyle="1" w:styleId="Heading5Char">
    <w:name w:val="Heading 5 Char"/>
    <w:link w:val="Heading5"/>
    <w:uiPriority w:val="9"/>
    <w:semiHidden/>
    <w:rsid w:val="00420F72"/>
    <w:rPr>
      <w:rFonts w:ascii="Calibri" w:eastAsia="PMingLiU" w:hAnsi="Calibri" w:cs="Times New Roman"/>
      <w:b/>
      <w:bCs/>
      <w:i/>
      <w:iCs/>
      <w:sz w:val="26"/>
      <w:szCs w:val="26"/>
      <w:lang w:eastAsia="en-US"/>
    </w:rPr>
  </w:style>
  <w:style w:type="paragraph" w:customStyle="1" w:styleId="Default">
    <w:name w:val="Default"/>
    <w:rsid w:val="00D44795"/>
    <w:pPr>
      <w:widowControl w:val="0"/>
      <w:autoSpaceDE w:val="0"/>
      <w:autoSpaceDN w:val="0"/>
      <w:adjustRightInd w:val="0"/>
    </w:pPr>
    <w:rPr>
      <w:rFonts w:ascii="Calibri" w:eastAsia="Calibri" w:hAnsi="Calibri" w:cs="Calibri"/>
      <w:color w:val="000000"/>
      <w:sz w:val="24"/>
      <w:szCs w:val="24"/>
      <w:lang w:val="en-US"/>
    </w:rPr>
  </w:style>
  <w:style w:type="paragraph" w:styleId="BalloonText">
    <w:name w:val="Balloon Text"/>
    <w:basedOn w:val="Normal"/>
    <w:link w:val="BalloonTextChar"/>
    <w:uiPriority w:val="99"/>
    <w:semiHidden/>
    <w:unhideWhenUsed/>
    <w:rsid w:val="00826B31"/>
    <w:rPr>
      <w:rFonts w:ascii="Tahoma" w:hAnsi="Tahoma" w:cs="Tahoma"/>
      <w:sz w:val="16"/>
      <w:szCs w:val="16"/>
    </w:rPr>
  </w:style>
  <w:style w:type="character" w:customStyle="1" w:styleId="BalloonTextChar">
    <w:name w:val="Balloon Text Char"/>
    <w:link w:val="BalloonText"/>
    <w:uiPriority w:val="99"/>
    <w:semiHidden/>
    <w:rsid w:val="00826B31"/>
    <w:rPr>
      <w:rFonts w:ascii="Tahoma" w:hAnsi="Tahoma" w:cs="Tahoma"/>
      <w:sz w:val="16"/>
      <w:szCs w:val="16"/>
      <w:lang w:val="en-US" w:eastAsia="en-US"/>
    </w:rPr>
  </w:style>
  <w:style w:type="character" w:styleId="Strong">
    <w:name w:val="Strong"/>
    <w:uiPriority w:val="22"/>
    <w:qFormat/>
    <w:rsid w:val="00743C46"/>
    <w:rPr>
      <w:b/>
      <w:bCs/>
    </w:rPr>
  </w:style>
  <w:style w:type="character" w:styleId="Hyperlink">
    <w:name w:val="Hyperlink"/>
    <w:uiPriority w:val="99"/>
    <w:unhideWhenUsed/>
    <w:rsid w:val="00F90F73"/>
    <w:rPr>
      <w:color w:val="0563C1"/>
      <w:u w:val="single"/>
    </w:rPr>
  </w:style>
  <w:style w:type="character" w:styleId="UnresolvedMention">
    <w:name w:val="Unresolved Mention"/>
    <w:uiPriority w:val="99"/>
    <w:semiHidden/>
    <w:unhideWhenUsed/>
    <w:rsid w:val="00F90F73"/>
    <w:rPr>
      <w:color w:val="605E5C"/>
      <w:shd w:val="clear" w:color="auto" w:fill="E1DFDD"/>
    </w:rPr>
  </w:style>
  <w:style w:type="paragraph" w:styleId="ListParagraph">
    <w:name w:val="List Paragraph"/>
    <w:basedOn w:val="Normal"/>
    <w:uiPriority w:val="34"/>
    <w:qFormat/>
    <w:rsid w:val="001E0E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417314">
      <w:bodyDiv w:val="1"/>
      <w:marLeft w:val="0"/>
      <w:marRight w:val="0"/>
      <w:marTop w:val="0"/>
      <w:marBottom w:val="0"/>
      <w:divBdr>
        <w:top w:val="none" w:sz="0" w:space="0" w:color="auto"/>
        <w:left w:val="none" w:sz="0" w:space="0" w:color="auto"/>
        <w:bottom w:val="none" w:sz="0" w:space="0" w:color="auto"/>
        <w:right w:val="none" w:sz="0" w:space="0" w:color="auto"/>
      </w:divBdr>
    </w:div>
    <w:div w:id="211740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0710B7-8A32-4B22-BA04-55FF9343FD3D}">
  <ds:schemaRefs>
    <ds:schemaRef ds:uri="http://schemas.microsoft.com/sharepoint/v3/contenttype/forms"/>
  </ds:schemaRefs>
</ds:datastoreItem>
</file>

<file path=customXml/itemProps2.xml><?xml version="1.0" encoding="utf-8"?>
<ds:datastoreItem xmlns:ds="http://schemas.openxmlformats.org/officeDocument/2006/customXml" ds:itemID="{DC69B453-C66C-4EB3-931C-5BBA9ADE1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304</Words>
  <Characters>1735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Submission Format for ConnectED 2007</vt:lpstr>
    </vt:vector>
  </TitlesOfParts>
  <Company>clems</Company>
  <LinksUpToDate>false</LinksUpToDate>
  <CharactersWithSpaces>2035</CharactersWithSpaces>
  <SharedDoc>false</SharedDoc>
  <HLinks>
    <vt:vector size="6" baseType="variant">
      <vt:variant>
        <vt:i4>6946820</vt:i4>
      </vt:variant>
      <vt:variant>
        <vt:i4>0</vt:i4>
      </vt:variant>
      <vt:variant>
        <vt:i4>0</vt:i4>
      </vt:variant>
      <vt:variant>
        <vt:i4>5</vt:i4>
      </vt:variant>
      <vt:variant>
        <vt:lpwstr>mailto:wcp2026@expertevents.com.au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Format for ConnectED 2007</dc:title>
  <dc:subject/>
  <dc:creator>gillard</dc:creator>
  <cp:keywords/>
  <cp:lastModifiedBy>Fita Rahmawati</cp:lastModifiedBy>
  <cp:revision>4</cp:revision>
  <cp:lastPrinted>2013-06-13T08:15:00Z</cp:lastPrinted>
  <dcterms:created xsi:type="dcterms:W3CDTF">2025-09-15T03:17:00Z</dcterms:created>
  <dcterms:modified xsi:type="dcterms:W3CDTF">2025-09-15T08:59:00Z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ies>
</file>