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813" w:rsidRPr="004E5450" w:rsidRDefault="004500A9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Effect of particulate matter exposure on dendritic cell responses in asthma</w:t>
      </w:r>
    </w:p>
    <w:p w:rsidR="00377477" w:rsidRPr="00377477" w:rsidRDefault="00377477" w:rsidP="00377477">
      <w:pPr>
        <w:rPr>
          <w:rFonts w:ascii="Calibri" w:hAnsi="Calibri" w:cs="Calibri"/>
          <w:sz w:val="20"/>
          <w:szCs w:val="20"/>
        </w:rPr>
      </w:pPr>
      <w:r w:rsidRPr="00377477">
        <w:rPr>
          <w:rFonts w:ascii="Calibri" w:hAnsi="Calibri" w:cs="Calibri"/>
          <w:sz w:val="20"/>
          <w:szCs w:val="20"/>
        </w:rPr>
        <w:t>Eyla Oxborrow</w:t>
      </w:r>
      <w:r w:rsidRPr="00377477">
        <w:rPr>
          <w:rFonts w:ascii="Calibri" w:hAnsi="Calibri" w:cs="Calibri"/>
          <w:sz w:val="20"/>
          <w:szCs w:val="20"/>
          <w:vertAlign w:val="superscript"/>
        </w:rPr>
        <w:t>1</w:t>
      </w:r>
      <w:r w:rsidRPr="00377477">
        <w:rPr>
          <w:rFonts w:ascii="Calibri" w:hAnsi="Calibri" w:cs="Calibri"/>
          <w:sz w:val="20"/>
          <w:szCs w:val="20"/>
        </w:rPr>
        <w:t xml:space="preserve">, Chantal </w:t>
      </w:r>
      <w:proofErr w:type="spellStart"/>
      <w:r w:rsidRPr="00377477">
        <w:rPr>
          <w:rFonts w:ascii="Calibri" w:hAnsi="Calibri" w:cs="Calibri"/>
          <w:sz w:val="20"/>
          <w:szCs w:val="20"/>
        </w:rPr>
        <w:t>Donovan</w:t>
      </w:r>
      <w:r w:rsidRPr="00377477">
        <w:rPr>
          <w:rFonts w:ascii="Calibri" w:hAnsi="Calibri" w:cs="Calibri"/>
          <w:sz w:val="20"/>
          <w:szCs w:val="20"/>
          <w:vertAlign w:val="superscript"/>
        </w:rPr>
        <w:t>1,2</w:t>
      </w:r>
      <w:proofErr w:type="spellEnd"/>
      <w:r w:rsidRPr="00377477">
        <w:rPr>
          <w:rFonts w:ascii="Calibri" w:hAnsi="Calibri" w:cs="Calibri"/>
          <w:sz w:val="20"/>
          <w:szCs w:val="20"/>
        </w:rPr>
        <w:t>, Jessica Tolentino</w:t>
      </w:r>
      <w:r w:rsidRPr="00377477">
        <w:rPr>
          <w:rFonts w:ascii="Calibri" w:hAnsi="Calibri" w:cs="Calibri"/>
          <w:sz w:val="20"/>
          <w:szCs w:val="20"/>
          <w:vertAlign w:val="superscript"/>
        </w:rPr>
        <w:t>1</w:t>
      </w:r>
      <w:r w:rsidRPr="00377477">
        <w:rPr>
          <w:rFonts w:ascii="Calibri" w:hAnsi="Calibri" w:cs="Calibri"/>
          <w:sz w:val="20"/>
          <w:szCs w:val="20"/>
        </w:rPr>
        <w:t>, Madison L Coward-</w:t>
      </w:r>
      <w:proofErr w:type="spellStart"/>
      <w:r w:rsidRPr="00377477">
        <w:rPr>
          <w:rFonts w:ascii="Calibri" w:hAnsi="Calibri" w:cs="Calibri"/>
          <w:sz w:val="20"/>
          <w:szCs w:val="20"/>
        </w:rPr>
        <w:t>Smith</w:t>
      </w:r>
      <w:r w:rsidRPr="00377477">
        <w:rPr>
          <w:rFonts w:ascii="Calibri" w:hAnsi="Calibri" w:cs="Calibri"/>
          <w:sz w:val="20"/>
          <w:szCs w:val="20"/>
          <w:vertAlign w:val="superscript"/>
        </w:rPr>
        <w:t>1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, Xu </w:t>
      </w:r>
      <w:proofErr w:type="spellStart"/>
      <w:r w:rsidRPr="00377477">
        <w:rPr>
          <w:rFonts w:ascii="Calibri" w:hAnsi="Calibri" w:cs="Calibri"/>
          <w:sz w:val="20"/>
          <w:szCs w:val="20"/>
        </w:rPr>
        <w:t>Bai</w:t>
      </w:r>
      <w:r w:rsidRPr="00377477">
        <w:rPr>
          <w:rFonts w:ascii="Calibri" w:hAnsi="Calibri" w:cs="Calibri"/>
          <w:sz w:val="20"/>
          <w:szCs w:val="20"/>
          <w:vertAlign w:val="superscript"/>
        </w:rPr>
        <w:t>1,2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, Andrew E </w:t>
      </w:r>
      <w:proofErr w:type="spellStart"/>
      <w:r w:rsidRPr="00377477">
        <w:rPr>
          <w:rFonts w:ascii="Calibri" w:hAnsi="Calibri" w:cs="Calibri"/>
          <w:sz w:val="20"/>
          <w:szCs w:val="20"/>
        </w:rPr>
        <w:t>Thorpe</w:t>
      </w:r>
      <w:r w:rsidRPr="00377477">
        <w:rPr>
          <w:rFonts w:ascii="Calibri" w:hAnsi="Calibri" w:cs="Calibri"/>
          <w:sz w:val="20"/>
          <w:szCs w:val="20"/>
          <w:vertAlign w:val="superscript"/>
        </w:rPr>
        <w:t>1,2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, Brian GG </w:t>
      </w:r>
      <w:proofErr w:type="spellStart"/>
      <w:r w:rsidRPr="00377477">
        <w:rPr>
          <w:rFonts w:ascii="Calibri" w:hAnsi="Calibri" w:cs="Calibri"/>
          <w:sz w:val="20"/>
          <w:szCs w:val="20"/>
        </w:rPr>
        <w:t>Oliver</w:t>
      </w:r>
      <w:r w:rsidRPr="00377477">
        <w:rPr>
          <w:rFonts w:ascii="Calibri" w:hAnsi="Calibri" w:cs="Calibri"/>
          <w:sz w:val="20"/>
          <w:szCs w:val="20"/>
          <w:vertAlign w:val="superscript"/>
        </w:rPr>
        <w:t>1,2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, Richard Y </w:t>
      </w:r>
      <w:proofErr w:type="spellStart"/>
      <w:r w:rsidRPr="00377477">
        <w:rPr>
          <w:rFonts w:ascii="Calibri" w:hAnsi="Calibri" w:cs="Calibri"/>
          <w:sz w:val="20"/>
          <w:szCs w:val="20"/>
        </w:rPr>
        <w:t>Kim</w:t>
      </w:r>
      <w:r w:rsidRPr="00377477">
        <w:rPr>
          <w:rFonts w:ascii="Calibri" w:hAnsi="Calibri" w:cs="Calibri"/>
          <w:sz w:val="20"/>
          <w:szCs w:val="20"/>
          <w:vertAlign w:val="superscript"/>
        </w:rPr>
        <w:t>1,2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. School of Life Sciences, Univ of Technology </w:t>
      </w:r>
      <w:proofErr w:type="spellStart"/>
      <w:r w:rsidRPr="00377477">
        <w:rPr>
          <w:rFonts w:ascii="Calibri" w:hAnsi="Calibri" w:cs="Calibri"/>
          <w:sz w:val="20"/>
          <w:szCs w:val="20"/>
        </w:rPr>
        <w:t>Sydney</w:t>
      </w:r>
      <w:r w:rsidRPr="00377477">
        <w:rPr>
          <w:rFonts w:ascii="Calibri" w:hAnsi="Calibri" w:cs="Calibri"/>
          <w:sz w:val="20"/>
          <w:szCs w:val="20"/>
          <w:vertAlign w:val="superscript"/>
        </w:rPr>
        <w:t>1</w:t>
      </w:r>
      <w:proofErr w:type="spellEnd"/>
      <w:r w:rsidRPr="00377477">
        <w:rPr>
          <w:rFonts w:ascii="Calibri" w:hAnsi="Calibri" w:cs="Calibri"/>
          <w:sz w:val="20"/>
          <w:szCs w:val="20"/>
        </w:rPr>
        <w:t xml:space="preserve">, Sydney, NSW, Australia; Respiratory Cell and Molecular Biology, Woolcock Institute of Medical </w:t>
      </w:r>
      <w:proofErr w:type="spellStart"/>
      <w:r w:rsidRPr="00377477">
        <w:rPr>
          <w:rFonts w:ascii="Calibri" w:hAnsi="Calibri" w:cs="Calibri"/>
          <w:sz w:val="20"/>
          <w:szCs w:val="20"/>
        </w:rPr>
        <w:t>Research</w:t>
      </w:r>
      <w:r w:rsidRPr="00377477">
        <w:rPr>
          <w:rFonts w:ascii="Calibri" w:hAnsi="Calibri" w:cs="Calibri"/>
          <w:sz w:val="20"/>
          <w:szCs w:val="20"/>
          <w:vertAlign w:val="superscript"/>
        </w:rPr>
        <w:t>2</w:t>
      </w:r>
      <w:proofErr w:type="spellEnd"/>
      <w:r w:rsidRPr="00377477">
        <w:rPr>
          <w:rFonts w:ascii="Calibri" w:hAnsi="Calibri" w:cs="Calibri"/>
          <w:sz w:val="20"/>
          <w:szCs w:val="20"/>
        </w:rPr>
        <w:t>, Sydney, NSW, Australia.</w:t>
      </w:r>
    </w:p>
    <w:p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:rsidR="00F97620" w:rsidRPr="0067232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37747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77477" w:rsidRPr="00377477">
        <w:rPr>
          <w:rFonts w:ascii="Calibri" w:hAnsi="Calibri" w:cs="Calibri"/>
          <w:sz w:val="20"/>
          <w:szCs w:val="20"/>
        </w:rPr>
        <w:t>Air pollution, particularly particulate matter with a diameter &lt;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2.5µm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>), is a significant environmental threat to human health, contributing to the increased incidence and severity of respiratory diseases, like asthma. Dendritic cells (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DCs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) play important roles in the activation and differentiation of naïve T cells into the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Th2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cells that underpin allergic asthma. However, it is unknown how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affects DC function, whether this interaction increases the DC response to antigens, and what impacts this has on the development and increased severity of asthma.</w:t>
      </w:r>
      <w:r w:rsidR="008669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77477" w:rsidRPr="00377477">
        <w:rPr>
          <w:rFonts w:ascii="Calibri" w:hAnsi="Calibri" w:cs="Calibri"/>
          <w:sz w:val="20"/>
          <w:szCs w:val="20"/>
        </w:rPr>
        <w:t>To develop a novel mouse model to explore the relationship between chronic low-dose Sydney air pollution exposure and the development and severity of asthma, with a focus on DC responses.</w:t>
      </w:r>
      <w:r w:rsidR="008669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77477" w:rsidRPr="00377477">
        <w:rPr>
          <w:rFonts w:ascii="Calibri" w:hAnsi="Calibri" w:cs="Calibri"/>
          <w:sz w:val="20"/>
          <w:szCs w:val="20"/>
        </w:rPr>
        <w:t xml:space="preserve">Female wild-type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BALB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>/c mice (</w:t>
      </w:r>
      <w:r w:rsidR="00377477" w:rsidRPr="00377477">
        <w:rPr>
          <w:rFonts w:ascii="Calibri" w:hAnsi="Calibri" w:cs="Calibri"/>
          <w:i/>
          <w:iCs/>
          <w:sz w:val="20"/>
          <w:szCs w:val="20"/>
        </w:rPr>
        <w:t>n</w:t>
      </w:r>
      <w:r w:rsidR="00377477" w:rsidRPr="00377477">
        <w:rPr>
          <w:rFonts w:ascii="Calibri" w:hAnsi="Calibri" w:cs="Calibri"/>
          <w:sz w:val="20"/>
          <w:szCs w:val="20"/>
        </w:rPr>
        <w:t xml:space="preserve">=8/group) were administered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(or saline control)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i.n.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daily for 3 weeks. On day 4, the mice were systemically sensitised to ovalbumin (Ova) via i.p. injection, followed by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i.n.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Ova re-challenge on days 16-19 to induce experimental asthma. Endpoint analysis (day 20) included in vivo invasive plethysmography to measure airway hyperresponsiveness to methacholine challenge, airway inflammation via bronchoalveolar lavage, and detection of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DCs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using flow cytometry.</w:t>
      </w:r>
      <w:r w:rsidR="008669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77477" w:rsidRPr="00377477">
        <w:rPr>
          <w:rFonts w:ascii="Calibri" w:hAnsi="Calibri" w:cs="Calibri"/>
          <w:sz w:val="20"/>
          <w:szCs w:val="20"/>
        </w:rPr>
        <w:t xml:space="preserve">Mice exposed to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and with experimental asthma (Ova/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) showed increased airway hyperresponsiveness compared to those with experimental asthma alone (Ova/PBS) and the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exposure control (Sal/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>; P&lt;0.0001). Ova/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mice also had increased airway inflammation (2.7</w:t>
      </w:r>
      <w:r w:rsidR="00377477" w:rsidRPr="00377477">
        <w:rPr>
          <w:rFonts w:ascii="Calibri" w:hAnsi="Calibri" w:cs="Calibri"/>
          <w:sz w:val="20"/>
          <w:szCs w:val="20"/>
        </w:rPr>
        <w:sym w:font="Symbol" w:char="F0B1"/>
      </w:r>
      <w:r w:rsidR="00377477" w:rsidRPr="00377477">
        <w:rPr>
          <w:rFonts w:ascii="Calibri" w:hAnsi="Calibri" w:cs="Calibri"/>
          <w:sz w:val="20"/>
          <w:szCs w:val="20"/>
        </w:rPr>
        <w:t xml:space="preserve">0.3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x10</w:t>
      </w:r>
      <w:r w:rsidR="00377477" w:rsidRPr="00377477">
        <w:rPr>
          <w:rFonts w:ascii="Calibri" w:hAnsi="Calibri" w:cs="Calibri"/>
          <w:sz w:val="20"/>
          <w:szCs w:val="20"/>
          <w:vertAlign w:val="superscript"/>
        </w:rPr>
        <w:t>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cells/mL) compared to Sal/PM controls (0.36</w:t>
      </w:r>
      <w:r w:rsidR="00377477" w:rsidRPr="00377477">
        <w:rPr>
          <w:rFonts w:ascii="Calibri" w:hAnsi="Calibri" w:cs="Calibri"/>
          <w:sz w:val="20"/>
          <w:szCs w:val="20"/>
        </w:rPr>
        <w:sym w:font="Symbol" w:char="F0B1"/>
      </w:r>
      <w:r w:rsidR="00377477" w:rsidRPr="00377477">
        <w:rPr>
          <w:rFonts w:ascii="Calibri" w:hAnsi="Calibri" w:cs="Calibri"/>
          <w:sz w:val="20"/>
          <w:szCs w:val="20"/>
        </w:rPr>
        <w:t xml:space="preserve">0.04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x10</w:t>
      </w:r>
      <w:r w:rsidR="00377477" w:rsidRPr="00377477">
        <w:rPr>
          <w:rFonts w:ascii="Calibri" w:hAnsi="Calibri" w:cs="Calibri"/>
          <w:sz w:val="20"/>
          <w:szCs w:val="20"/>
          <w:vertAlign w:val="superscript"/>
        </w:rPr>
        <w:t>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cells/mL; P&lt;0.0001). DC responses were amplified in Ova/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compared to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alone (P&lt;0.05), with notable increases in plasmacytoid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DCs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and antigen-presenting plasmacytoid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DCs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, compared to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alone (P&lt;0.05).</w:t>
      </w:r>
      <w:r w:rsidR="008669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77477" w:rsidRPr="00377477">
        <w:rPr>
          <w:rFonts w:ascii="Calibri" w:hAnsi="Calibri" w:cs="Calibri"/>
          <w:sz w:val="20"/>
          <w:szCs w:val="20"/>
        </w:rPr>
        <w:t xml:space="preserve">Chronic low-dose exposure to Sydney </w:t>
      </w:r>
      <w:proofErr w:type="spellStart"/>
      <w:r w:rsidR="00377477" w:rsidRPr="00377477">
        <w:rPr>
          <w:rFonts w:ascii="Calibri" w:hAnsi="Calibri" w:cs="Calibri"/>
          <w:sz w:val="20"/>
          <w:szCs w:val="20"/>
        </w:rPr>
        <w:t>PM2.5</w:t>
      </w:r>
      <w:proofErr w:type="spellEnd"/>
      <w:r w:rsidR="00377477" w:rsidRPr="00377477">
        <w:rPr>
          <w:rFonts w:ascii="Calibri" w:hAnsi="Calibri" w:cs="Calibri"/>
          <w:sz w:val="20"/>
          <w:szCs w:val="20"/>
        </w:rPr>
        <w:t xml:space="preserve"> exacerbates asthma features, including increased airway hyperresponsiveness, airway inflammation and enhanced DC-mediated allergic sensitisation, contributing to greater asthma severity. These findings highlight future directions for targeted therapeutic strategies to mitigate the respiratory health impacts of air pollution.</w:t>
      </w:r>
    </w:p>
    <w:sectPr w:rsidR="00F97620" w:rsidRPr="00672327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72B0"/>
    <w:rsid w:val="00300B92"/>
    <w:rsid w:val="003238D9"/>
    <w:rsid w:val="00377477"/>
    <w:rsid w:val="00387491"/>
    <w:rsid w:val="00444224"/>
    <w:rsid w:val="004500A9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72327"/>
    <w:rsid w:val="00711813"/>
    <w:rsid w:val="00724E3C"/>
    <w:rsid w:val="00743C46"/>
    <w:rsid w:val="00760B17"/>
    <w:rsid w:val="00866950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CF1FE7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CA47A7-5208-41F7-84F4-C65657AA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Eyla Oxborrow</cp:lastModifiedBy>
  <cp:revision>3</cp:revision>
  <cp:lastPrinted>2013-06-13T22:15:00Z</cp:lastPrinted>
  <dcterms:created xsi:type="dcterms:W3CDTF">2025-09-15T00:10:00Z</dcterms:created>
  <dcterms:modified xsi:type="dcterms:W3CDTF">2025-09-15T00:10:00Z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2025-09-12T01:27:12Z</vt:lpwstr>
  </property>
  <property fmtid="{D5CDD505-2E9C-101B-9397-08002B2CF9AE}" pid="6" name="MSIP_Label_51a6c3db-1667-4f49-995a-8b9973972958_Method">
    <vt:lpwstr>Privileged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2ffbcd51-c12d-434f-9e25-91fb8bfdb043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50, 0, 1, 1</vt:lpwstr>
  </property>
</Properties>
</file>