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3C030" w14:textId="1290C88E" w:rsidR="008E6D35" w:rsidRPr="00C645EF" w:rsidRDefault="008E6D35" w:rsidP="00541178">
      <w:pPr>
        <w:pStyle w:val="NormalWeb"/>
        <w:spacing w:before="0" w:beforeAutospacing="0" w:after="0" w:afterAutospacing="0"/>
        <w:jc w:val="both"/>
        <w:rPr>
          <w:b/>
        </w:rPr>
      </w:pPr>
      <w:r w:rsidRPr="00C645EF">
        <w:rPr>
          <w:b/>
        </w:rPr>
        <w:t>Oligoviologen</w:t>
      </w:r>
      <w:r w:rsidR="00256007" w:rsidRPr="00C645EF">
        <w:rPr>
          <w:b/>
        </w:rPr>
        <w:t>-b</w:t>
      </w:r>
      <w:r w:rsidRPr="00C645EF">
        <w:rPr>
          <w:b/>
        </w:rPr>
        <w:t>ased Photo</w:t>
      </w:r>
      <w:r w:rsidR="00C61192" w:rsidRPr="00C645EF">
        <w:rPr>
          <w:b/>
        </w:rPr>
        <w:t>-Redox</w:t>
      </w:r>
      <w:r w:rsidRPr="00C645EF">
        <w:rPr>
          <w:b/>
        </w:rPr>
        <w:t xml:space="preserve"> </w:t>
      </w:r>
      <w:r w:rsidR="00C61192" w:rsidRPr="00C645EF">
        <w:rPr>
          <w:b/>
        </w:rPr>
        <w:t xml:space="preserve">Actuating </w:t>
      </w:r>
      <w:r w:rsidRPr="00C645EF">
        <w:rPr>
          <w:b/>
        </w:rPr>
        <w:t>Hydrogels</w:t>
      </w:r>
    </w:p>
    <w:p w14:paraId="6D716012" w14:textId="08561A18" w:rsidR="002A74F2" w:rsidRPr="00C645EF" w:rsidRDefault="002A74F2" w:rsidP="00541178">
      <w:pPr>
        <w:pStyle w:val="NormalWeb"/>
        <w:spacing w:before="0" w:beforeAutospacing="0" w:after="0" w:afterAutospacing="0"/>
        <w:jc w:val="both"/>
        <w:rPr>
          <w:b/>
        </w:rPr>
      </w:pPr>
    </w:p>
    <w:p w14:paraId="642B36B9" w14:textId="69FE2D1F" w:rsidR="00C645EF" w:rsidRPr="00C645EF" w:rsidRDefault="00C645EF" w:rsidP="00541178">
      <w:pPr>
        <w:jc w:val="both"/>
        <w:rPr>
          <w:rFonts w:ascii="Times New Roman" w:eastAsia="Times New Roman" w:hAnsi="Times New Roman" w:cs="Times New Roman"/>
          <w:i/>
          <w:lang w:val="en-AU"/>
        </w:rPr>
      </w:pPr>
      <w:r w:rsidRPr="00C645EF">
        <w:rPr>
          <w:rFonts w:ascii="Times New Roman" w:eastAsia="Times New Roman" w:hAnsi="Times New Roman" w:cs="Times New Roman"/>
          <w:i/>
          <w:lang w:val="en-AU"/>
        </w:rPr>
        <w:t>Faheem Amir</w:t>
      </w:r>
      <w:r w:rsidRPr="00541178">
        <w:rPr>
          <w:rFonts w:ascii="Times New Roman" w:eastAsia="Times New Roman" w:hAnsi="Times New Roman" w:cs="Times New Roman"/>
          <w:i/>
          <w:lang w:val="en-AU"/>
        </w:rPr>
        <w:t>, K</w:t>
      </w:r>
      <w:r w:rsidRPr="00C645EF">
        <w:rPr>
          <w:rFonts w:ascii="Times New Roman" w:eastAsia="Times New Roman" w:hAnsi="Times New Roman" w:cs="Times New Roman"/>
          <w:i/>
          <w:lang w:val="en-AU"/>
        </w:rPr>
        <w:t xml:space="preserve">evin </w:t>
      </w:r>
      <w:r w:rsidR="00B508DA">
        <w:rPr>
          <w:rFonts w:ascii="Times New Roman" w:eastAsia="Times New Roman" w:hAnsi="Times New Roman" w:cs="Times New Roman"/>
          <w:i/>
          <w:lang w:val="en-AU"/>
        </w:rPr>
        <w:t xml:space="preserve">P. </w:t>
      </w:r>
      <w:r w:rsidRPr="00C645EF">
        <w:rPr>
          <w:rFonts w:ascii="Times New Roman" w:eastAsia="Times New Roman" w:hAnsi="Times New Roman" w:cs="Times New Roman"/>
          <w:i/>
          <w:lang w:val="en-AU"/>
        </w:rPr>
        <w:t>Liles</w:t>
      </w:r>
      <w:r w:rsidRPr="00541178">
        <w:rPr>
          <w:rFonts w:ascii="Times New Roman" w:eastAsia="Times New Roman" w:hAnsi="Times New Roman" w:cs="Times New Roman"/>
          <w:i/>
          <w:lang w:val="en-AU"/>
        </w:rPr>
        <w:t>, A</w:t>
      </w:r>
      <w:r w:rsidRPr="00C645EF">
        <w:rPr>
          <w:rFonts w:ascii="Times New Roman" w:eastAsia="Times New Roman" w:hAnsi="Times New Roman" w:cs="Times New Roman"/>
          <w:i/>
          <w:lang w:val="en-AU"/>
        </w:rPr>
        <w:t xml:space="preserve">bigail O. Delawder, Nathan D. Colley, Mark S. Palmquist, Jonathan C. Barnes </w:t>
      </w:r>
    </w:p>
    <w:p w14:paraId="48C4A9C6" w14:textId="77777777" w:rsidR="002A74F2" w:rsidRPr="00C645EF" w:rsidRDefault="002A74F2" w:rsidP="00541178">
      <w:pPr>
        <w:jc w:val="both"/>
        <w:rPr>
          <w:rFonts w:ascii="Times New Roman" w:eastAsia="Times New Roman" w:hAnsi="Times New Roman" w:cs="Times New Roman"/>
          <w:lang w:val="en-AU"/>
        </w:rPr>
      </w:pPr>
    </w:p>
    <w:p w14:paraId="55FA7EBC" w14:textId="066145EA" w:rsidR="00E81FFE" w:rsidRPr="00C645EF" w:rsidRDefault="00DC11F3" w:rsidP="00541178">
      <w:pPr>
        <w:pStyle w:val="NormalWeb"/>
        <w:spacing w:before="0" w:beforeAutospacing="0" w:after="0" w:afterAutospacing="0"/>
        <w:jc w:val="both"/>
      </w:pPr>
      <w:r w:rsidRPr="00C645EF">
        <w:t>Materials</w:t>
      </w:r>
      <w:r w:rsidR="007348D7" w:rsidRPr="00C645EF">
        <w:t xml:space="preserve"> capable of actuation in response to external stimuli (light, temperature, pH, and magnetic and electrical stimulations) have found widespread applications in </w:t>
      </w:r>
      <w:r w:rsidR="00F04D84" w:rsidRPr="00C645EF">
        <w:t xml:space="preserve">materials, </w:t>
      </w:r>
      <w:r w:rsidR="007348D7" w:rsidRPr="00C645EF">
        <w:t>medicine and biology.</w:t>
      </w:r>
      <w:r w:rsidR="00C21591" w:rsidRPr="00C645EF">
        <w:t xml:space="preserve"> </w:t>
      </w:r>
      <w:r w:rsidR="00C919A3" w:rsidRPr="00C645EF">
        <w:t xml:space="preserve">The use of light to actuate materials is advantageous as </w:t>
      </w:r>
      <w:r w:rsidR="00952C6A" w:rsidRPr="00C645EF">
        <w:t>it allows for precise and localized alterations</w:t>
      </w:r>
      <w:r w:rsidR="00E87FF0" w:rsidRPr="00C645EF">
        <w:t>, by simply regulating</w:t>
      </w:r>
      <w:r w:rsidR="00C80C98" w:rsidRPr="00C645EF">
        <w:t xml:space="preserve"> specific</w:t>
      </w:r>
      <w:r w:rsidR="00751E55" w:rsidRPr="00C645EF">
        <w:t xml:space="preserve"> </w:t>
      </w:r>
      <w:r w:rsidR="007348D7" w:rsidRPr="00C645EF">
        <w:t>light parameters (light intensity, wavelength</w:t>
      </w:r>
      <w:r w:rsidR="00E87FF0" w:rsidRPr="00C645EF">
        <w:t>,</w:t>
      </w:r>
      <w:r w:rsidR="007348D7" w:rsidRPr="00C645EF">
        <w:t xml:space="preserve"> exposure time</w:t>
      </w:r>
      <w:r w:rsidR="00E87FF0" w:rsidRPr="00C645EF">
        <w:t xml:space="preserve"> and area of exposure</w:t>
      </w:r>
      <w:r w:rsidR="007348D7" w:rsidRPr="00C645EF">
        <w:t>)</w:t>
      </w:r>
      <w:r w:rsidR="00C80C98" w:rsidRPr="00C645EF">
        <w:t>.</w:t>
      </w:r>
      <w:r w:rsidR="00A1073D" w:rsidRPr="00C645EF">
        <w:t xml:space="preserve"> </w:t>
      </w:r>
      <w:r w:rsidR="00E87FF0" w:rsidRPr="00C645EF">
        <w:t xml:space="preserve">We have developed a </w:t>
      </w:r>
      <w:proofErr w:type="gramStart"/>
      <w:r w:rsidR="00E87FF0" w:rsidRPr="00C645EF">
        <w:t>poly(</w:t>
      </w:r>
      <w:proofErr w:type="gramEnd"/>
      <w:r w:rsidR="00E87FF0" w:rsidRPr="00C645EF">
        <w:t xml:space="preserve">hydroxyethyl acrylate)-based hydrogel that employs </w:t>
      </w:r>
      <w:r w:rsidR="00952C6A" w:rsidRPr="00C645EF">
        <w:t>a</w:t>
      </w:r>
      <w:r w:rsidR="00C80C98" w:rsidRPr="00C645EF">
        <w:t xml:space="preserve"> </w:t>
      </w:r>
      <w:r w:rsidR="00952C6A" w:rsidRPr="00C645EF">
        <w:t>redox-responsive crosslinker</w:t>
      </w:r>
      <w:r w:rsidR="00E87FF0" w:rsidRPr="00C645EF">
        <w:t xml:space="preserve"> </w:t>
      </w:r>
      <w:r w:rsidR="00952C6A" w:rsidRPr="00C645EF">
        <w:t xml:space="preserve">– which consists </w:t>
      </w:r>
      <w:r w:rsidR="00FF7A5F" w:rsidRPr="00C645EF">
        <w:t xml:space="preserve">of </w:t>
      </w:r>
      <w:r w:rsidR="00952C6A" w:rsidRPr="00C645EF">
        <w:t xml:space="preserve">viologen subunits tethered by </w:t>
      </w:r>
      <w:r w:rsidRPr="00C645EF">
        <w:t xml:space="preserve">a </w:t>
      </w:r>
      <w:r w:rsidR="00952C6A" w:rsidRPr="00C645EF">
        <w:t xml:space="preserve">hexaethylene glycol </w:t>
      </w:r>
      <w:r w:rsidR="009779B4" w:rsidRPr="00C645EF">
        <w:t xml:space="preserve">spacer </w:t>
      </w:r>
      <w:r w:rsidR="00952C6A" w:rsidRPr="00C645EF">
        <w:t xml:space="preserve">and capped with </w:t>
      </w:r>
      <w:r w:rsidR="001B6BBA" w:rsidRPr="00C645EF">
        <w:t xml:space="preserve">polymerizable </w:t>
      </w:r>
      <w:r w:rsidR="00952C6A" w:rsidRPr="00C645EF">
        <w:t>styrene</w:t>
      </w:r>
      <w:r w:rsidR="009779B4" w:rsidRPr="00C645EF">
        <w:t xml:space="preserve"> units</w:t>
      </w:r>
      <w:r w:rsidR="00952C6A" w:rsidRPr="00C645EF">
        <w:t>. These dicationic viologen subunits (V</w:t>
      </w:r>
      <w:r w:rsidR="00C21591" w:rsidRPr="00C645EF">
        <w:rPr>
          <w:vertAlign w:val="superscript"/>
        </w:rPr>
        <w:t>2+</w:t>
      </w:r>
      <w:r w:rsidR="00952C6A" w:rsidRPr="00C645EF">
        <w:t>) can be reduced to their monoradical cations (V</w:t>
      </w:r>
      <w:r w:rsidR="00C21591" w:rsidRPr="00C645EF">
        <w:rPr>
          <w:vertAlign w:val="superscript"/>
        </w:rPr>
        <w:sym w:font="Symbol" w:char="F0B7"/>
      </w:r>
      <w:r w:rsidR="00C21591" w:rsidRPr="00C645EF">
        <w:rPr>
          <w:vertAlign w:val="superscript"/>
        </w:rPr>
        <w:t>+</w:t>
      </w:r>
      <w:r w:rsidR="00952C6A" w:rsidRPr="00C645EF">
        <w:t xml:space="preserve">) through a photoinduced electron transfer (PET) process using a visible-light-absorbing photocatalyst </w:t>
      </w:r>
      <w:r w:rsidR="00A1073D" w:rsidRPr="00C645EF">
        <w:t xml:space="preserve">(tris(bipyridine)ruthenium (II) dichloride) </w:t>
      </w:r>
      <w:r w:rsidR="00952C6A" w:rsidRPr="00C645EF">
        <w:t>embedded in the hydrogel</w:t>
      </w:r>
      <w:r w:rsidR="0098031A" w:rsidRPr="00C645EF">
        <w:t xml:space="preserve">. </w:t>
      </w:r>
      <w:r w:rsidRPr="00C645EF">
        <w:t>The r</w:t>
      </w:r>
      <w:r w:rsidR="00DE147C" w:rsidRPr="00C645EF">
        <w:t xml:space="preserve">esulting </w:t>
      </w:r>
      <w:r w:rsidR="00472229" w:rsidRPr="00C645EF">
        <w:t>intramolecular stacking of viologen radical cations – through radical-radical pairing interactions</w:t>
      </w:r>
      <w:r w:rsidR="00541178" w:rsidRPr="002A74F2">
        <w:t>–</w:t>
      </w:r>
      <w:r w:rsidR="00541178">
        <w:t xml:space="preserve"> </w:t>
      </w:r>
      <w:r w:rsidR="00A1073D" w:rsidRPr="00C645EF">
        <w:t xml:space="preserve">leads </w:t>
      </w:r>
      <w:r w:rsidR="00472229" w:rsidRPr="00C645EF">
        <w:t xml:space="preserve">to </w:t>
      </w:r>
      <w:r w:rsidR="001B6BBA" w:rsidRPr="00C645EF">
        <w:t>contraction</w:t>
      </w:r>
      <w:r w:rsidR="00472229" w:rsidRPr="00C645EF">
        <w:t xml:space="preserve"> of the hydrogel network and change</w:t>
      </w:r>
      <w:r w:rsidR="00A1073D" w:rsidRPr="00C645EF">
        <w:t xml:space="preserve"> in</w:t>
      </w:r>
      <w:r w:rsidR="00472229" w:rsidRPr="00C645EF">
        <w:t xml:space="preserve"> the </w:t>
      </w:r>
      <w:r w:rsidR="00A55B83" w:rsidRPr="00C645EF">
        <w:t>hydrogel’s</w:t>
      </w:r>
      <w:r w:rsidR="00472229" w:rsidRPr="00C645EF">
        <w:t xml:space="preserve"> stiffness and tensile strength, which is reversed via oxidation of the viologen subunits and swelling in water. </w:t>
      </w:r>
      <w:r w:rsidR="00FB0458" w:rsidRPr="00C645EF">
        <w:t xml:space="preserve">This reversible PET process was used to photopattern the same hydrogel multiple times, where the pattern was ‘erased’ each time by turning off the light </w:t>
      </w:r>
      <w:r w:rsidR="00075094" w:rsidRPr="00C645EF">
        <w:t xml:space="preserve">(~450 nm) </w:t>
      </w:r>
      <w:r w:rsidR="00FB0458" w:rsidRPr="00C645EF">
        <w:t xml:space="preserve">source and allowing for oxidation and re-swelling in between patterning steps. </w:t>
      </w:r>
      <w:r w:rsidRPr="00C645EF">
        <w:t>M</w:t>
      </w:r>
      <w:r w:rsidR="00FB0458" w:rsidRPr="00C645EF">
        <w:t xml:space="preserve">asked </w:t>
      </w:r>
      <w:r w:rsidR="00075094" w:rsidRPr="00C645EF">
        <w:t xml:space="preserve">areas for the hydrogel </w:t>
      </w:r>
      <w:r w:rsidR="00FB0458" w:rsidRPr="00C645EF">
        <w:t xml:space="preserve">exhibited lower (by 1–2 kPa) shear storage moduli (G′) than the areas that were irradiated for 1.5 h. </w:t>
      </w:r>
      <w:r w:rsidRPr="00C645EF">
        <w:t>Currently, w</w:t>
      </w:r>
      <w:r w:rsidR="001B6BBA" w:rsidRPr="00C645EF">
        <w:t xml:space="preserve">e are developing a photo-redox actuating hydrogel </w:t>
      </w:r>
      <w:r w:rsidR="008E6D35" w:rsidRPr="00C645EF">
        <w:t xml:space="preserve">system </w:t>
      </w:r>
      <w:r w:rsidR="001B6BBA" w:rsidRPr="00C645EF">
        <w:t xml:space="preserve">which could actuate with lights of multiple wavelengths. </w:t>
      </w:r>
    </w:p>
    <w:p w14:paraId="5F1BE85A" w14:textId="4CADADF8" w:rsidR="00E81FFE" w:rsidRPr="00C645EF" w:rsidRDefault="00E81FFE" w:rsidP="00541178">
      <w:pPr>
        <w:pStyle w:val="NormalWeb"/>
        <w:spacing w:before="0" w:beforeAutospacing="0" w:after="0" w:afterAutospacing="0"/>
        <w:jc w:val="both"/>
      </w:pPr>
    </w:p>
    <w:p w14:paraId="3DF7E4CD" w14:textId="097BF059" w:rsidR="00E81FFE" w:rsidRPr="000917D8" w:rsidRDefault="0022561D" w:rsidP="000917D8">
      <w:pPr>
        <w:pStyle w:val="NormalWeb"/>
        <w:spacing w:before="0" w:beforeAutospacing="0" w:after="0" w:afterAutospacing="0"/>
        <w:jc w:val="center"/>
      </w:pPr>
      <w:r w:rsidRPr="0022561D">
        <w:drawing>
          <wp:inline distT="0" distB="0" distL="0" distR="0" wp14:anchorId="70276810" wp14:editId="2ECA61C0">
            <wp:extent cx="5727700" cy="382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63FE" w14:textId="5CC3CC0B" w:rsidR="00E81FFE" w:rsidRDefault="00E81FFE" w:rsidP="00541178">
      <w:pPr>
        <w:pStyle w:val="NormalWeb"/>
        <w:spacing w:before="0" w:beforeAutospacing="0" w:after="0" w:afterAutospacing="0"/>
        <w:jc w:val="both"/>
      </w:pPr>
    </w:p>
    <w:p w14:paraId="5E779803" w14:textId="2D0F9903" w:rsidR="00541178" w:rsidRDefault="00541178" w:rsidP="00541178">
      <w:pPr>
        <w:pStyle w:val="NormalWeb"/>
        <w:spacing w:before="0" w:beforeAutospacing="0" w:after="0" w:afterAutospacing="0"/>
        <w:jc w:val="both"/>
      </w:pPr>
    </w:p>
    <w:p w14:paraId="4A6DCD79" w14:textId="307A2D19" w:rsidR="00541178" w:rsidRPr="00C645EF" w:rsidRDefault="00541178" w:rsidP="00541178">
      <w:pPr>
        <w:pStyle w:val="NormalWeb"/>
        <w:spacing w:before="0" w:beforeAutospacing="0" w:after="0" w:afterAutospacing="0"/>
        <w:jc w:val="both"/>
      </w:pPr>
      <w:bookmarkStart w:id="0" w:name="_GoBack"/>
      <w:bookmarkEnd w:id="0"/>
    </w:p>
    <w:sectPr w:rsidR="00541178" w:rsidRPr="00C645EF" w:rsidSect="00A87DF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9A3"/>
    <w:rsid w:val="00000AFF"/>
    <w:rsid w:val="000126A8"/>
    <w:rsid w:val="00042142"/>
    <w:rsid w:val="00043C0F"/>
    <w:rsid w:val="00075094"/>
    <w:rsid w:val="00081D66"/>
    <w:rsid w:val="000917D8"/>
    <w:rsid w:val="000A4347"/>
    <w:rsid w:val="000D2BF7"/>
    <w:rsid w:val="000F6D53"/>
    <w:rsid w:val="00100589"/>
    <w:rsid w:val="00106D48"/>
    <w:rsid w:val="00120BA0"/>
    <w:rsid w:val="00166889"/>
    <w:rsid w:val="0018333E"/>
    <w:rsid w:val="00184AF7"/>
    <w:rsid w:val="001B1F99"/>
    <w:rsid w:val="001B6BBA"/>
    <w:rsid w:val="001E3E77"/>
    <w:rsid w:val="0020024D"/>
    <w:rsid w:val="0022561D"/>
    <w:rsid w:val="002515DF"/>
    <w:rsid w:val="00256007"/>
    <w:rsid w:val="00271879"/>
    <w:rsid w:val="002732B6"/>
    <w:rsid w:val="00282621"/>
    <w:rsid w:val="002A74F2"/>
    <w:rsid w:val="002D061F"/>
    <w:rsid w:val="00310D8A"/>
    <w:rsid w:val="00344BED"/>
    <w:rsid w:val="003614BF"/>
    <w:rsid w:val="003847C9"/>
    <w:rsid w:val="003A4F93"/>
    <w:rsid w:val="003B0C3C"/>
    <w:rsid w:val="003C6C44"/>
    <w:rsid w:val="003D0E17"/>
    <w:rsid w:val="0041648E"/>
    <w:rsid w:val="004417AD"/>
    <w:rsid w:val="00447084"/>
    <w:rsid w:val="00472229"/>
    <w:rsid w:val="004E6273"/>
    <w:rsid w:val="00506C69"/>
    <w:rsid w:val="00541178"/>
    <w:rsid w:val="005668C5"/>
    <w:rsid w:val="0057226F"/>
    <w:rsid w:val="005B1D8B"/>
    <w:rsid w:val="005C495F"/>
    <w:rsid w:val="005D6100"/>
    <w:rsid w:val="005F5B33"/>
    <w:rsid w:val="00604228"/>
    <w:rsid w:val="006328C4"/>
    <w:rsid w:val="006444F1"/>
    <w:rsid w:val="00664320"/>
    <w:rsid w:val="00667544"/>
    <w:rsid w:val="006729FC"/>
    <w:rsid w:val="00676327"/>
    <w:rsid w:val="006B16EE"/>
    <w:rsid w:val="006C1601"/>
    <w:rsid w:val="006F726A"/>
    <w:rsid w:val="0070454A"/>
    <w:rsid w:val="0071455B"/>
    <w:rsid w:val="007348D7"/>
    <w:rsid w:val="00741889"/>
    <w:rsid w:val="00751E55"/>
    <w:rsid w:val="00763011"/>
    <w:rsid w:val="00775E35"/>
    <w:rsid w:val="007806E0"/>
    <w:rsid w:val="00782213"/>
    <w:rsid w:val="007A16A6"/>
    <w:rsid w:val="007A293B"/>
    <w:rsid w:val="007C26FC"/>
    <w:rsid w:val="007C5531"/>
    <w:rsid w:val="007E0649"/>
    <w:rsid w:val="007E1DB2"/>
    <w:rsid w:val="007E2EB6"/>
    <w:rsid w:val="00811DCC"/>
    <w:rsid w:val="00832F30"/>
    <w:rsid w:val="00846E52"/>
    <w:rsid w:val="00861667"/>
    <w:rsid w:val="0089357E"/>
    <w:rsid w:val="008B31EB"/>
    <w:rsid w:val="008B4F40"/>
    <w:rsid w:val="008B5E72"/>
    <w:rsid w:val="008C2437"/>
    <w:rsid w:val="008E6D35"/>
    <w:rsid w:val="00952C6A"/>
    <w:rsid w:val="00956B2C"/>
    <w:rsid w:val="00960772"/>
    <w:rsid w:val="00964206"/>
    <w:rsid w:val="009779B4"/>
    <w:rsid w:val="0098031A"/>
    <w:rsid w:val="00992B1C"/>
    <w:rsid w:val="009A2D38"/>
    <w:rsid w:val="009A653F"/>
    <w:rsid w:val="009B3A42"/>
    <w:rsid w:val="009C2DEC"/>
    <w:rsid w:val="009D1500"/>
    <w:rsid w:val="00A0266E"/>
    <w:rsid w:val="00A05E88"/>
    <w:rsid w:val="00A1021F"/>
    <w:rsid w:val="00A1073D"/>
    <w:rsid w:val="00A164E2"/>
    <w:rsid w:val="00A20A5E"/>
    <w:rsid w:val="00A55B83"/>
    <w:rsid w:val="00A86C84"/>
    <w:rsid w:val="00A87DFD"/>
    <w:rsid w:val="00AA3904"/>
    <w:rsid w:val="00AB20F8"/>
    <w:rsid w:val="00AC4B0A"/>
    <w:rsid w:val="00AC63F1"/>
    <w:rsid w:val="00AD0E50"/>
    <w:rsid w:val="00AE2F93"/>
    <w:rsid w:val="00B508DA"/>
    <w:rsid w:val="00B67918"/>
    <w:rsid w:val="00BA4F73"/>
    <w:rsid w:val="00BB0748"/>
    <w:rsid w:val="00BD5332"/>
    <w:rsid w:val="00BE06D4"/>
    <w:rsid w:val="00C21591"/>
    <w:rsid w:val="00C41F3D"/>
    <w:rsid w:val="00C41F80"/>
    <w:rsid w:val="00C50D69"/>
    <w:rsid w:val="00C61192"/>
    <w:rsid w:val="00C621CE"/>
    <w:rsid w:val="00C645EF"/>
    <w:rsid w:val="00C80C98"/>
    <w:rsid w:val="00C919A3"/>
    <w:rsid w:val="00C93E8A"/>
    <w:rsid w:val="00CA5DB2"/>
    <w:rsid w:val="00CD5BDF"/>
    <w:rsid w:val="00CF2194"/>
    <w:rsid w:val="00D01F2E"/>
    <w:rsid w:val="00D06574"/>
    <w:rsid w:val="00D41AA1"/>
    <w:rsid w:val="00D43AD0"/>
    <w:rsid w:val="00D47D56"/>
    <w:rsid w:val="00D6421D"/>
    <w:rsid w:val="00D75616"/>
    <w:rsid w:val="00D933B4"/>
    <w:rsid w:val="00DC11F3"/>
    <w:rsid w:val="00DC2F51"/>
    <w:rsid w:val="00DE147C"/>
    <w:rsid w:val="00DE218B"/>
    <w:rsid w:val="00E21EFF"/>
    <w:rsid w:val="00E468B2"/>
    <w:rsid w:val="00E51295"/>
    <w:rsid w:val="00E81FFE"/>
    <w:rsid w:val="00E82988"/>
    <w:rsid w:val="00E86464"/>
    <w:rsid w:val="00E87FF0"/>
    <w:rsid w:val="00EB56CF"/>
    <w:rsid w:val="00EC6F9A"/>
    <w:rsid w:val="00F04D84"/>
    <w:rsid w:val="00F264FC"/>
    <w:rsid w:val="00F30804"/>
    <w:rsid w:val="00F368AB"/>
    <w:rsid w:val="00F41A22"/>
    <w:rsid w:val="00FB0458"/>
    <w:rsid w:val="00FD7667"/>
    <w:rsid w:val="00FF0462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D9DD19"/>
  <w14:defaultImageDpi w14:val="330"/>
  <w15:chartTrackingRefBased/>
  <w15:docId w15:val="{00A58931-6D5A-CE4D-9409-927428F4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2C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D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DB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7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0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0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9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2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9453E368-C9D0-447D-B3E6-7F8FCBB1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Faheem Amir Solangi</dc:creator>
  <cp:keywords/>
  <dc:description/>
  <cp:lastModifiedBy>jbarnesgroup</cp:lastModifiedBy>
  <cp:revision>3</cp:revision>
  <cp:lastPrinted>2019-03-15T20:53:00Z</cp:lastPrinted>
  <dcterms:created xsi:type="dcterms:W3CDTF">2019-03-15T21:10:00Z</dcterms:created>
  <dcterms:modified xsi:type="dcterms:W3CDTF">2019-03-15T21:11:00Z</dcterms:modified>
</cp:coreProperties>
</file>