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5CF" w14:textId="4491D032" w:rsidR="00711813" w:rsidRPr="004E5450" w:rsidRDefault="008F3C8C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Endothelium-dependent modulation of myogenic tone in coronary arteries</w:t>
      </w:r>
    </w:p>
    <w:p w14:paraId="0B26D19C" w14:textId="5BE0A4DC" w:rsidR="00711813" w:rsidRPr="004E5450" w:rsidRDefault="008F3C8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>
        <w:rPr>
          <w:rFonts w:ascii="Calibri" w:hAnsi="Calibri" w:cs="Calibri"/>
          <w:sz w:val="20"/>
          <w:szCs w:val="20"/>
          <w:lang w:val="en-AU"/>
        </w:rPr>
        <w:t>JinHeng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Lin</w:t>
      </w:r>
      <w:r w:rsidR="004C7CB7" w:rsidRPr="004C7CB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Christopher J Garland</w:t>
      </w:r>
      <w:r w:rsidR="004C7CB7" w:rsidRPr="004C7CB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Kim A Dora</w:t>
      </w:r>
      <w:r w:rsidR="004C7CB7" w:rsidRPr="004C7CB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 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of Pharmacology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University of Oxford</w:t>
      </w:r>
      <w:r w:rsidR="004C7CB7" w:rsidRPr="004C7CB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Oxford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UK.</w:t>
      </w:r>
    </w:p>
    <w:p w14:paraId="6B44075D" w14:textId="79478033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2BDB75BE" w14:textId="67E04555" w:rsidR="00711813" w:rsidRPr="004E5450" w:rsidRDefault="00CF398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noProof/>
        </w:rPr>
        <w:drawing>
          <wp:anchor distT="6096" distB="34671" distL="163068" distR="115443" simplePos="0" relativeHeight="251657728" behindDoc="0" locked="0" layoutInCell="1" allowOverlap="1" wp14:anchorId="6A716542" wp14:editId="7F8A5D5D">
            <wp:simplePos x="0" y="0"/>
            <wp:positionH relativeFrom="column">
              <wp:posOffset>3990975</wp:posOffset>
            </wp:positionH>
            <wp:positionV relativeFrom="paragraph">
              <wp:posOffset>70534</wp:posOffset>
            </wp:positionV>
            <wp:extent cx="2074545" cy="1541780"/>
            <wp:effectExtent l="0" t="0" r="0" b="0"/>
            <wp:wrapSquare wrapText="bothSides"/>
            <wp:docPr id="2" name="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 3"/>
                    <pic:cNvPicPr>
                      <a:picLocks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3C8C">
        <w:rPr>
          <w:rFonts w:ascii="Calibri" w:hAnsi="Calibri" w:cs="Calibri"/>
          <w:sz w:val="20"/>
          <w:szCs w:val="20"/>
          <w:lang w:val="en-AU"/>
        </w:rPr>
        <w:t>Voltage-dependent processes set the pressure-driven tone of coronary arteries, seen as reversal of tone by inhibitors of voltage-gated calcium channels (</w:t>
      </w:r>
      <w:proofErr w:type="spellStart"/>
      <w:r w:rsidR="00E576B6">
        <w:rPr>
          <w:rFonts w:ascii="Calibri" w:hAnsi="Calibri" w:cs="Calibri"/>
          <w:sz w:val="20"/>
          <w:szCs w:val="20"/>
          <w:lang w:val="en-AU"/>
        </w:rPr>
        <w:t>CaV</w:t>
      </w:r>
      <w:proofErr w:type="spellEnd"/>
      <w:r w:rsidR="008F3C8C">
        <w:rPr>
          <w:rFonts w:ascii="Calibri" w:hAnsi="Calibri" w:cs="Calibri"/>
          <w:sz w:val="20"/>
          <w:szCs w:val="20"/>
          <w:lang w:val="en-AU"/>
        </w:rPr>
        <w:t>)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This tone is suppressed by the </w:t>
      </w:r>
      <w:r w:rsidR="0071217D">
        <w:rPr>
          <w:rFonts w:ascii="Calibri" w:hAnsi="Calibri" w:cs="Calibri"/>
          <w:sz w:val="20"/>
          <w:szCs w:val="20"/>
          <w:lang w:val="en-AU"/>
        </w:rPr>
        <w:t xml:space="preserve">spontaneous </w:t>
      </w:r>
      <w:r w:rsidR="008F3C8C">
        <w:rPr>
          <w:rFonts w:ascii="Calibri" w:hAnsi="Calibri" w:cs="Calibri"/>
          <w:sz w:val="20"/>
          <w:szCs w:val="20"/>
          <w:lang w:val="en-AU"/>
        </w:rPr>
        <w:t>release of nitric oxide (NO) by the endothelium, yet the pathways remain unestablished.</w:t>
      </w:r>
    </w:p>
    <w:p w14:paraId="1D40D6B6" w14:textId="7BCF3883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 T</w:t>
      </w:r>
      <w:r w:rsidR="008F3C8C">
        <w:rPr>
          <w:rFonts w:ascii="Calibri" w:hAnsi="Calibri" w:cs="Calibri"/>
          <w:sz w:val="20"/>
          <w:szCs w:val="20"/>
          <w:lang w:val="en-AU"/>
        </w:rPr>
        <w:t>o establish the mechanisms leading to the release of NO during myogenic tone in coronary resistance arteries.</w:t>
      </w:r>
    </w:p>
    <w:p w14:paraId="5B79D20B" w14:textId="281F5E9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Endothelial cell (EC) Ca</w:t>
      </w:r>
      <w:r w:rsidR="008F3C8C" w:rsidRPr="008F3C8C">
        <w:rPr>
          <w:rFonts w:ascii="Calibri" w:hAnsi="Calibri" w:cs="Calibri"/>
          <w:sz w:val="20"/>
          <w:szCs w:val="20"/>
          <w:vertAlign w:val="superscript"/>
          <w:lang w:val="en-AU"/>
        </w:rPr>
        <w:t>2+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and arterial tone/tension </w:t>
      </w:r>
      <w:r w:rsidR="008F3C8C">
        <w:rPr>
          <w:rFonts w:ascii="Calibri" w:hAnsi="Calibri" w:cs="Calibri"/>
          <w:sz w:val="20"/>
          <w:szCs w:val="20"/>
          <w:lang w:val="en-AU"/>
        </w:rPr>
        <w:t>w</w:t>
      </w:r>
      <w:r w:rsidR="00E2789C">
        <w:rPr>
          <w:rFonts w:ascii="Calibri" w:hAnsi="Calibri" w:cs="Calibri"/>
          <w:sz w:val="20"/>
          <w:szCs w:val="20"/>
          <w:lang w:val="en-AU"/>
        </w:rPr>
        <w:t>ere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measured in isolated rat coronary septal arteries mounted for pressure and wire myography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 at 37 </w:t>
      </w:r>
      <w:proofErr w:type="spellStart"/>
      <w:r w:rsidR="00C069F7">
        <w:rPr>
          <w:rFonts w:ascii="Calibri" w:hAnsi="Calibri" w:cs="Calibri"/>
          <w:sz w:val="20"/>
          <w:szCs w:val="20"/>
          <w:lang w:val="en-AU"/>
        </w:rPr>
        <w:t>oC</w:t>
      </w:r>
      <w:proofErr w:type="spellEnd"/>
      <w:r w:rsidR="00C069F7">
        <w:rPr>
          <w:rFonts w:ascii="Calibri" w:hAnsi="Calibri" w:cs="Calibri"/>
          <w:sz w:val="20"/>
          <w:szCs w:val="20"/>
          <w:lang w:val="en-AU"/>
        </w:rPr>
        <w:t xml:space="preserve"> (Garland et al, 2017)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C7CB7">
        <w:rPr>
          <w:rFonts w:ascii="Calibri" w:hAnsi="Calibri" w:cs="Calibri"/>
          <w:sz w:val="20"/>
          <w:szCs w:val="20"/>
          <w:lang w:val="en-AU"/>
        </w:rPr>
        <w:t>Pharmacological agents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 were added to the chamber. </w:t>
      </w:r>
      <w:r w:rsidR="008F3C8C">
        <w:rPr>
          <w:rFonts w:ascii="Calibri" w:hAnsi="Calibri" w:cs="Calibri"/>
          <w:sz w:val="20"/>
          <w:szCs w:val="20"/>
          <w:lang w:val="en-AU"/>
        </w:rPr>
        <w:t>Arteries were fixed at the completion of experiments for immunolabelling</w:t>
      </w:r>
      <w:r w:rsidR="004C7CB7">
        <w:rPr>
          <w:rFonts w:ascii="Calibri" w:hAnsi="Calibri" w:cs="Calibri"/>
          <w:sz w:val="20"/>
          <w:szCs w:val="20"/>
          <w:lang w:val="en-AU"/>
        </w:rPr>
        <w:t xml:space="preserve"> and </w:t>
      </w:r>
      <w:proofErr w:type="spellStart"/>
      <w:r w:rsidR="004C7CB7">
        <w:rPr>
          <w:rFonts w:ascii="Calibri" w:hAnsi="Calibri" w:cs="Calibri"/>
          <w:sz w:val="20"/>
          <w:szCs w:val="20"/>
          <w:lang w:val="en-AU"/>
        </w:rPr>
        <w:t>RNAscope</w:t>
      </w:r>
      <w:proofErr w:type="spellEnd"/>
      <w:r w:rsidR="004C7CB7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6B7BC63C" w14:textId="684CC16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3C8C">
        <w:rPr>
          <w:rFonts w:ascii="Calibri" w:hAnsi="Calibri" w:cs="Calibri"/>
          <w:sz w:val="20"/>
          <w:szCs w:val="20"/>
          <w:lang w:val="en-AU"/>
        </w:rPr>
        <w:t>EC Ca</w:t>
      </w:r>
      <w:r w:rsidR="008F3C8C" w:rsidRPr="008F3C8C">
        <w:rPr>
          <w:rFonts w:ascii="Calibri" w:hAnsi="Calibri" w:cs="Calibri"/>
          <w:sz w:val="20"/>
          <w:szCs w:val="20"/>
          <w:vertAlign w:val="superscript"/>
          <w:lang w:val="en-AU"/>
        </w:rPr>
        <w:t>2+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217D">
        <w:rPr>
          <w:rFonts w:ascii="Calibri" w:hAnsi="Calibri" w:cs="Calibri"/>
          <w:sz w:val="20"/>
          <w:szCs w:val="20"/>
          <w:lang w:val="en-AU"/>
        </w:rPr>
        <w:t>was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equally activated at 10, 40 and 80 mmHg, suggesting basal activation of NO suppresses myogenic tone. </w:t>
      </w:r>
      <w:r w:rsidR="0071255B">
        <w:rPr>
          <w:rFonts w:ascii="Calibri" w:hAnsi="Calibri" w:cs="Calibri"/>
          <w:sz w:val="20"/>
          <w:szCs w:val="20"/>
          <w:lang w:val="en-AU"/>
        </w:rPr>
        <w:t xml:space="preserve">The activation </w:t>
      </w:r>
      <w:r w:rsidR="0071217D">
        <w:rPr>
          <w:rFonts w:ascii="Calibri" w:hAnsi="Calibri" w:cs="Calibri"/>
          <w:sz w:val="20"/>
          <w:szCs w:val="20"/>
          <w:lang w:val="en-AU"/>
        </w:rPr>
        <w:t>was</w:t>
      </w:r>
      <w:r w:rsidR="0071255B">
        <w:rPr>
          <w:rFonts w:ascii="Calibri" w:hAnsi="Calibri" w:cs="Calibri"/>
          <w:sz w:val="20"/>
          <w:szCs w:val="20"/>
          <w:lang w:val="en-AU"/>
        </w:rPr>
        <w:t xml:space="preserve"> dependent on Ca</w:t>
      </w:r>
      <w:r w:rsidR="0071255B" w:rsidRPr="0071255B">
        <w:rPr>
          <w:rFonts w:ascii="Calibri" w:hAnsi="Calibri" w:cs="Calibri"/>
          <w:sz w:val="20"/>
          <w:szCs w:val="20"/>
          <w:vertAlign w:val="superscript"/>
          <w:lang w:val="en-AU"/>
        </w:rPr>
        <w:t>2+</w:t>
      </w:r>
      <w:r w:rsidR="0071255B">
        <w:rPr>
          <w:rFonts w:ascii="Calibri" w:hAnsi="Calibri" w:cs="Calibri"/>
          <w:sz w:val="20"/>
          <w:szCs w:val="20"/>
          <w:lang w:val="en-AU"/>
        </w:rPr>
        <w:t xml:space="preserve"> influx. </w:t>
      </w:r>
      <w:r w:rsidR="008F3C8C">
        <w:rPr>
          <w:rFonts w:ascii="Calibri" w:hAnsi="Calibri" w:cs="Calibri"/>
          <w:sz w:val="20"/>
          <w:szCs w:val="20"/>
          <w:lang w:val="en-AU"/>
        </w:rPr>
        <w:t>Addition of an inhibitor of NO synthase causes depolarization and augmentation of myogenic tone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(Ng H et al, 2024)</w:t>
      </w:r>
      <w:r w:rsidR="008F3C8C">
        <w:rPr>
          <w:rFonts w:ascii="Calibri" w:hAnsi="Calibri" w:cs="Calibri"/>
          <w:sz w:val="20"/>
          <w:szCs w:val="20"/>
          <w:lang w:val="en-AU"/>
        </w:rPr>
        <w:t>.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A selective inhibitor of CaV3.2 T-type </w:t>
      </w:r>
      <w:r w:rsidR="0071217D">
        <w:rPr>
          <w:rFonts w:ascii="Calibri" w:hAnsi="Calibri" w:cs="Calibri"/>
          <w:sz w:val="20"/>
          <w:szCs w:val="20"/>
          <w:lang w:val="en-AU"/>
        </w:rPr>
        <w:t>channels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augment</w:t>
      </w:r>
      <w:r w:rsidR="0071217D">
        <w:rPr>
          <w:rFonts w:ascii="Calibri" w:hAnsi="Calibri" w:cs="Calibri"/>
          <w:sz w:val="20"/>
          <w:szCs w:val="20"/>
          <w:lang w:val="en-AU"/>
        </w:rPr>
        <w:t>ed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217D">
        <w:rPr>
          <w:rFonts w:ascii="Calibri" w:hAnsi="Calibri" w:cs="Calibri"/>
          <w:sz w:val="20"/>
          <w:szCs w:val="20"/>
          <w:lang w:val="en-AU"/>
        </w:rPr>
        <w:t>vasoconstriction</w:t>
      </w:r>
      <w:r w:rsidR="00E2789C">
        <w:rPr>
          <w:rFonts w:ascii="Calibri" w:hAnsi="Calibri" w:cs="Calibri"/>
          <w:sz w:val="20"/>
          <w:szCs w:val="20"/>
          <w:lang w:val="en-AU"/>
        </w:rPr>
        <w:t>, whereas inhibitors of CaV1.2 L-type and pan CaV3</w:t>
      </w:r>
      <w:r w:rsidR="0071217D">
        <w:rPr>
          <w:rFonts w:ascii="Calibri" w:hAnsi="Calibri" w:cs="Calibri"/>
          <w:sz w:val="20"/>
          <w:szCs w:val="20"/>
          <w:lang w:val="en-AU"/>
        </w:rPr>
        <w:t>.x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T-type channels </w:t>
      </w:r>
      <w:r w:rsidR="0071217D">
        <w:rPr>
          <w:rFonts w:ascii="Calibri" w:hAnsi="Calibri" w:cs="Calibri"/>
          <w:sz w:val="20"/>
          <w:szCs w:val="20"/>
          <w:lang w:val="en-AU"/>
        </w:rPr>
        <w:t>reduced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myogenic tone. There is evidence for</w:t>
      </w:r>
      <w:r w:rsidR="004C7CB7">
        <w:rPr>
          <w:rFonts w:ascii="Calibri" w:hAnsi="Calibri" w:cs="Calibri"/>
          <w:sz w:val="20"/>
          <w:szCs w:val="20"/>
          <w:lang w:val="en-AU"/>
        </w:rPr>
        <w:t xml:space="preserve"> protein and mRNA 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expression of </w:t>
      </w:r>
      <w:proofErr w:type="spellStart"/>
      <w:r w:rsidR="00E2789C">
        <w:rPr>
          <w:rFonts w:ascii="Calibri" w:hAnsi="Calibri" w:cs="Calibri"/>
          <w:sz w:val="20"/>
          <w:szCs w:val="20"/>
          <w:lang w:val="en-AU"/>
        </w:rPr>
        <w:t>CaV</w:t>
      </w:r>
      <w:proofErr w:type="spellEnd"/>
      <w:r w:rsidR="00E2789C">
        <w:rPr>
          <w:rFonts w:ascii="Calibri" w:hAnsi="Calibri" w:cs="Calibri"/>
          <w:sz w:val="20"/>
          <w:szCs w:val="20"/>
          <w:lang w:val="en-AU"/>
        </w:rPr>
        <w:t xml:space="preserve"> channel isoforms in septal artery ECs alongside vascular smooth muscle cells.</w:t>
      </w:r>
    </w:p>
    <w:p w14:paraId="0670EEA0" w14:textId="2D2BCFD7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255B">
        <w:rPr>
          <w:rFonts w:ascii="Calibri" w:hAnsi="Calibri" w:cs="Calibri"/>
          <w:sz w:val="20"/>
          <w:szCs w:val="20"/>
          <w:lang w:val="en-AU"/>
        </w:rPr>
        <w:t>Understanding the pathways that lead to the intrinsic release of NO within the coronary microcirculation ha</w:t>
      </w:r>
      <w:r w:rsidR="00E2789C">
        <w:rPr>
          <w:rFonts w:ascii="Calibri" w:hAnsi="Calibri" w:cs="Calibri"/>
          <w:sz w:val="20"/>
          <w:szCs w:val="20"/>
          <w:lang w:val="en-AU"/>
        </w:rPr>
        <w:t>s</w:t>
      </w:r>
      <w:r w:rsidR="0071255B">
        <w:rPr>
          <w:rFonts w:ascii="Calibri" w:hAnsi="Calibri" w:cs="Calibri"/>
          <w:sz w:val="20"/>
          <w:szCs w:val="20"/>
          <w:lang w:val="en-AU"/>
        </w:rPr>
        <w:t xml:space="preserve"> implications for ischaemic heart disease associated with microvascular endothelial dysfunction.</w:t>
      </w:r>
    </w:p>
    <w:p w14:paraId="7C7059A6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A856A7C" w14:textId="543F42B9" w:rsidR="00C069F7" w:rsidRDefault="00C069F7" w:rsidP="0071255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Garland CJ et al (2017) Sci Signalling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 486:1-14.</w:t>
      </w:r>
    </w:p>
    <w:p w14:paraId="22E29B6D" w14:textId="3262E746" w:rsidR="00F97620" w:rsidRPr="004E5450" w:rsidRDefault="0071255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Ng </w:t>
      </w:r>
      <w:r w:rsidR="00E2789C">
        <w:rPr>
          <w:rFonts w:ascii="Calibri" w:hAnsi="Calibri" w:cs="Calibri"/>
          <w:sz w:val="20"/>
          <w:szCs w:val="20"/>
          <w:lang w:val="en-AU"/>
        </w:rPr>
        <w:t>YY</w:t>
      </w:r>
      <w:r>
        <w:rPr>
          <w:rFonts w:ascii="Calibri" w:hAnsi="Calibri" w:cs="Calibri"/>
          <w:sz w:val="20"/>
          <w:szCs w:val="20"/>
          <w:lang w:val="en-AU"/>
        </w:rPr>
        <w:t xml:space="preserve">H et al (2024) Hypertension </w:t>
      </w:r>
      <w:r w:rsidR="00E2789C">
        <w:rPr>
          <w:rFonts w:ascii="Calibri" w:hAnsi="Calibri" w:cs="Calibri"/>
          <w:sz w:val="20"/>
          <w:szCs w:val="20"/>
          <w:lang w:val="en-AU"/>
        </w:rPr>
        <w:t>4:</w:t>
      </w:r>
      <w:r w:rsidR="00E2789C" w:rsidRPr="00E2789C">
        <w:rPr>
          <w:rFonts w:ascii="Calibri" w:hAnsi="Calibri" w:cs="Calibri"/>
          <w:sz w:val="20"/>
          <w:szCs w:val="20"/>
        </w:rPr>
        <w:t>764-775</w:t>
      </w:r>
      <w:r w:rsidR="00E2789C">
        <w:rPr>
          <w:rFonts w:ascii="Calibri" w:hAnsi="Calibri" w:cs="Calibri"/>
          <w:sz w:val="20"/>
          <w:szCs w:val="20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A1EE1"/>
    <w:rsid w:val="002226BB"/>
    <w:rsid w:val="002272B0"/>
    <w:rsid w:val="00300B92"/>
    <w:rsid w:val="00300F13"/>
    <w:rsid w:val="003238D9"/>
    <w:rsid w:val="00387491"/>
    <w:rsid w:val="00443FED"/>
    <w:rsid w:val="00444224"/>
    <w:rsid w:val="00483B05"/>
    <w:rsid w:val="004C7CB7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1217D"/>
    <w:rsid w:val="0071255B"/>
    <w:rsid w:val="00724E3C"/>
    <w:rsid w:val="00743C46"/>
    <w:rsid w:val="00760B17"/>
    <w:rsid w:val="00885303"/>
    <w:rsid w:val="008909C9"/>
    <w:rsid w:val="008F3C8C"/>
    <w:rsid w:val="00947B77"/>
    <w:rsid w:val="009E2228"/>
    <w:rsid w:val="009F06D6"/>
    <w:rsid w:val="00A266B4"/>
    <w:rsid w:val="00A71DEF"/>
    <w:rsid w:val="00AE2DA6"/>
    <w:rsid w:val="00BC5FCC"/>
    <w:rsid w:val="00C069F7"/>
    <w:rsid w:val="00C132EC"/>
    <w:rsid w:val="00C60A71"/>
    <w:rsid w:val="00CF398C"/>
    <w:rsid w:val="00D55F3B"/>
    <w:rsid w:val="00DA2731"/>
    <w:rsid w:val="00E2789C"/>
    <w:rsid w:val="00E576B6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07221"/>
  <w15:chartTrackingRefBased/>
  <w15:docId w15:val="{BFC3DE9E-4D17-4C41-9804-D38A01E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1827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JinHeng Lin</cp:lastModifiedBy>
  <cp:revision>5</cp:revision>
  <cp:lastPrinted>2013-06-13T14:15:00Z</cp:lastPrinted>
  <dcterms:created xsi:type="dcterms:W3CDTF">2025-09-13T14:35:00Z</dcterms:created>
  <dcterms:modified xsi:type="dcterms:W3CDTF">2025-09-15T11:56:00Z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